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8C321">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114</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ascii="Arial" w:hAnsi="Arial" w:cs="Arial" w:eastAsiaTheme="minorEastAsia"/>
          <w:b/>
          <w:sz w:val="24"/>
          <w:szCs w:val="24"/>
          <w:lang w:eastAsia="zh-CN"/>
        </w:rPr>
        <w:t>R4-2</w:t>
      </w:r>
      <w:r>
        <w:rPr>
          <w:rFonts w:hint="eastAsia" w:ascii="Arial" w:hAnsi="Arial" w:cs="Arial" w:eastAsiaTheme="minorEastAsia"/>
          <w:b/>
          <w:sz w:val="24"/>
          <w:szCs w:val="24"/>
          <w:lang w:val="en-US" w:eastAsia="zh-CN"/>
        </w:rPr>
        <w:t>502614</w:t>
      </w:r>
    </w:p>
    <w:p w14:paraId="0C83AC9F">
      <w:pPr>
        <w:pStyle w:val="39"/>
        <w:tabs>
          <w:tab w:val="right" w:pos="9781"/>
          <w:tab w:val="right" w:pos="13323"/>
        </w:tabs>
        <w:spacing w:before="60" w:after="60"/>
        <w:outlineLvl w:val="0"/>
        <w:rPr>
          <w:rFonts w:cs="Arial"/>
          <w:sz w:val="24"/>
          <w:szCs w:val="24"/>
          <w:lang w:eastAsia="zh-CN"/>
        </w:rPr>
      </w:pPr>
      <w:r>
        <w:rPr>
          <w:rFonts w:hint="eastAsia" w:cs="Arial"/>
          <w:sz w:val="24"/>
          <w:szCs w:val="24"/>
          <w:lang w:eastAsia="zh-CN"/>
        </w:rPr>
        <w:t>Athens</w:t>
      </w:r>
      <w:r>
        <w:rPr>
          <w:rFonts w:cs="Arial"/>
          <w:sz w:val="24"/>
          <w:szCs w:val="24"/>
          <w:lang w:eastAsia="zh-CN"/>
        </w:rPr>
        <w:t>, GR,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14:paraId="32878D7A">
      <w:pPr>
        <w:spacing w:after="120"/>
        <w:ind w:left="1985" w:hanging="1985"/>
        <w:rPr>
          <w:rFonts w:ascii="Arial" w:hAnsi="Arial" w:eastAsia="MS Mincho" w:cs="Arial"/>
          <w:b/>
          <w:sz w:val="22"/>
        </w:rPr>
      </w:pPr>
    </w:p>
    <w:p w14:paraId="7835415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7.12.4</w:t>
      </w:r>
    </w:p>
    <w:p w14:paraId="4C2C1790">
      <w:pPr>
        <w:spacing w:after="120"/>
        <w:ind w:left="1985" w:hanging="1985"/>
        <w:rPr>
          <w:rFonts w:ascii="Arial" w:hAnsi="Arial" w:cs="Arial" w:eastAsiaTheme="minorEastAsia"/>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eastAsiaTheme="minorEastAsia"/>
          <w:color w:val="000000"/>
          <w:sz w:val="22"/>
          <w:lang w:val="en-US" w:eastAsia="zh-CN"/>
        </w:rPr>
        <w:t>Moderator (CMCC)</w:t>
      </w:r>
    </w:p>
    <w:p w14:paraId="4FB61794">
      <w:pPr>
        <w:spacing w:after="120"/>
        <w:ind w:left="1985" w:hanging="1985"/>
        <w:rPr>
          <w:rFonts w:hint="eastAsia"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val="en-US" w:eastAsia="en-GB"/>
        </w:rPr>
        <w:t>Coffee break discussion minutes on NR_ATG_enh</w:t>
      </w:r>
    </w:p>
    <w:p w14:paraId="669CE898">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14:paraId="3D11A3A3">
      <w:pPr>
        <w:pStyle w:val="2"/>
        <w:rPr>
          <w:rFonts w:eastAsiaTheme="minorEastAsia"/>
          <w:lang w:eastAsia="zh-CN"/>
        </w:rPr>
      </w:pPr>
      <w:r>
        <w:rPr>
          <w:rFonts w:hint="eastAsia"/>
          <w:lang w:eastAsia="ja-JP"/>
        </w:rPr>
        <w:t>Introduction</w:t>
      </w:r>
    </w:p>
    <w:p w14:paraId="0FC50E47">
      <w:pPr>
        <w:rPr>
          <w:iCs/>
          <w:highlight w:val="yellow"/>
          <w:u w:val="single"/>
          <w:lang w:eastAsia="zh-CN"/>
        </w:rPr>
      </w:pPr>
      <w:r>
        <w:rPr>
          <w:rFonts w:hint="eastAsia"/>
          <w:iCs/>
          <w:highlight w:val="yellow"/>
          <w:u w:val="single"/>
          <w:lang w:val="en-US" w:eastAsia="zh-CN"/>
        </w:rPr>
        <w:t>T</w:t>
      </w:r>
      <w:r>
        <w:rPr>
          <w:rFonts w:hint="eastAsia"/>
          <w:iCs/>
          <w:highlight w:val="yellow"/>
          <w:u w:val="single"/>
          <w:lang w:eastAsia="zh-CN"/>
        </w:rPr>
        <w:t xml:space="preserve">opics for </w:t>
      </w:r>
      <w:r>
        <w:rPr>
          <w:rFonts w:hint="eastAsia"/>
          <w:iCs/>
          <w:highlight w:val="yellow"/>
          <w:u w:val="single"/>
          <w:lang w:val="en-US" w:eastAsia="zh-CN"/>
        </w:rPr>
        <w:t>Adhoc</w:t>
      </w:r>
      <w:r>
        <w:rPr>
          <w:rFonts w:hint="eastAsia"/>
          <w:iCs/>
          <w:highlight w:val="yellow"/>
          <w:u w:val="single"/>
          <w:lang w:eastAsia="zh-CN"/>
        </w:rPr>
        <w:t xml:space="preserve"> discussion </w:t>
      </w:r>
    </w:p>
    <w:p w14:paraId="440F1514">
      <w:pPr>
        <w:rPr>
          <w:iCs/>
          <w:u w:val="single"/>
          <w:lang w:val="en-US" w:eastAsia="zh-CN"/>
        </w:rPr>
      </w:pPr>
      <w:r>
        <w:rPr>
          <w:rFonts w:hint="eastAsia"/>
          <w:iCs/>
          <w:u w:val="single"/>
          <w:lang w:val="en-US" w:eastAsia="zh-CN"/>
        </w:rPr>
        <w:t>Issue 1-1-1 UE antenna type for inter-band CA</w:t>
      </w:r>
    </w:p>
    <w:p w14:paraId="02A05C9D">
      <w:pPr>
        <w:rPr>
          <w:iCs/>
          <w:u w:val="single"/>
          <w:lang w:val="en-US" w:eastAsia="zh-CN"/>
        </w:rPr>
      </w:pPr>
      <w:r>
        <w:rPr>
          <w:rFonts w:hint="eastAsia"/>
          <w:iCs/>
          <w:u w:val="single"/>
          <w:lang w:val="en-US" w:eastAsia="zh-CN"/>
        </w:rPr>
        <w:t>Issue 1-2-1 MRTD for ATG inter-band CA</w:t>
      </w:r>
    </w:p>
    <w:p w14:paraId="5ADECB9D">
      <w:pPr>
        <w:rPr>
          <w:iCs/>
          <w:u w:val="single"/>
          <w:lang w:val="en-US" w:eastAsia="zh-CN"/>
        </w:rPr>
      </w:pPr>
      <w:r>
        <w:rPr>
          <w:rFonts w:hint="eastAsia"/>
          <w:iCs/>
          <w:u w:val="single"/>
          <w:lang w:val="en-US" w:eastAsia="zh-CN"/>
        </w:rPr>
        <w:t xml:space="preserve">Issue 1-4-4 </w:t>
      </w:r>
      <w:r>
        <w:rPr>
          <w:rFonts w:hint="eastAsia"/>
          <w:iCs/>
          <w:u w:val="single"/>
          <w:lang w:val="en-US" w:eastAsia="ko-KR"/>
        </w:rPr>
        <w:t>Deactivated SCell measurement</w:t>
      </w:r>
    </w:p>
    <w:p w14:paraId="26DC2E2A">
      <w:pPr>
        <w:rPr>
          <w:iCs/>
          <w:u w:val="single"/>
          <w:lang w:val="en-US" w:eastAsia="zh-CN"/>
        </w:rPr>
      </w:pPr>
      <w:r>
        <w:rPr>
          <w:rFonts w:hint="eastAsia"/>
          <w:iCs/>
          <w:u w:val="single"/>
          <w:lang w:val="en-US" w:eastAsia="zh-CN"/>
        </w:rPr>
        <w:t>Issue 1-4-6 Scheduling Availability/Restrictions of ATG UE with the antenna array performing measurements on FR1</w:t>
      </w:r>
    </w:p>
    <w:p w14:paraId="759C31D0">
      <w:pPr>
        <w:rPr>
          <w:iCs/>
          <w:u w:val="single"/>
          <w:lang w:val="en-US" w:eastAsia="zh-CN"/>
        </w:rPr>
      </w:pPr>
      <w:r>
        <w:rPr>
          <w:rFonts w:hint="eastAsia"/>
          <w:iCs/>
          <w:u w:val="single"/>
          <w:lang w:val="en-US" w:eastAsia="zh-CN"/>
        </w:rPr>
        <w:t>Issue 1-4-7 Scheduling Availability/Restrictions of ATG UE performing measurement with a different subcarrier spacing than PDSCH/PDCCH on FR1</w:t>
      </w:r>
    </w:p>
    <w:p w14:paraId="65FC41A4">
      <w:pPr>
        <w:rPr>
          <w:iCs/>
          <w:u w:val="single"/>
          <w:lang w:val="en-US" w:eastAsia="zh-CN"/>
        </w:rPr>
      </w:pPr>
      <w:r>
        <w:rPr>
          <w:rFonts w:hint="eastAsia"/>
          <w:iCs/>
          <w:u w:val="single"/>
          <w:lang w:val="en-US" w:eastAsia="zh-CN"/>
        </w:rPr>
        <w:t>Issue 1-3-1-3 Is there any impact from UE antenna types for interruption requirements</w:t>
      </w:r>
    </w:p>
    <w:p w14:paraId="03F9AEAC">
      <w:pPr>
        <w:rPr>
          <w:iCs/>
          <w:u w:val="single"/>
          <w:lang w:val="en-US" w:eastAsia="zh-CN"/>
        </w:rPr>
      </w:pPr>
      <w:r>
        <w:rPr>
          <w:rFonts w:hint="eastAsia"/>
          <w:iCs/>
          <w:u w:val="single"/>
          <w:lang w:val="en-US" w:eastAsia="zh-CN"/>
        </w:rPr>
        <w:t>Issue 1-3-1-5 Applicable bands of Interruption requirements</w:t>
      </w:r>
    </w:p>
    <w:p w14:paraId="7E0F7B16">
      <w:pPr>
        <w:rPr>
          <w:rFonts w:hint="eastAsia"/>
          <w:iCs/>
          <w:u w:val="single"/>
          <w:lang w:val="en-US" w:eastAsia="zh-CN"/>
        </w:rPr>
      </w:pPr>
      <w:r>
        <w:rPr>
          <w:rFonts w:hint="eastAsia"/>
          <w:iCs/>
          <w:u w:val="single"/>
          <w:lang w:val="en-US" w:eastAsia="zh-CN"/>
        </w:rPr>
        <w:t>Issue 1-1-2 UE Antenna Type signaling</w:t>
      </w:r>
    </w:p>
    <w:p w14:paraId="009C1415">
      <w:pPr>
        <w:rPr>
          <w:iCs/>
          <w:u w:val="single"/>
          <w:lang w:val="en-US" w:eastAsia="zh-CN"/>
        </w:rPr>
      </w:pPr>
      <w:r>
        <w:rPr>
          <w:rFonts w:hint="eastAsia"/>
          <w:iCs/>
          <w:u w:val="single"/>
          <w:lang w:val="en-US" w:eastAsia="zh-CN"/>
        </w:rPr>
        <w:t xml:space="preserve">Issue 1-3-3 </w:t>
      </w:r>
      <w:r>
        <w:rPr>
          <w:rFonts w:hint="eastAsia"/>
          <w:iCs/>
          <w:u w:val="single"/>
          <w:lang w:val="en-US" w:eastAsia="ko-KR"/>
        </w:rPr>
        <w:t xml:space="preserve">SCell </w:t>
      </w:r>
      <w:r>
        <w:rPr>
          <w:rFonts w:hint="eastAsia"/>
          <w:iCs/>
          <w:u w:val="single"/>
          <w:lang w:val="en-US" w:eastAsia="zh-CN"/>
        </w:rPr>
        <w:t>Addition/</w:t>
      </w:r>
      <w:r>
        <w:rPr>
          <w:rFonts w:hint="eastAsia"/>
          <w:iCs/>
          <w:u w:val="single"/>
          <w:lang w:val="en-US" w:eastAsia="ko-KR"/>
        </w:rPr>
        <w:t xml:space="preserve">Activation </w:t>
      </w:r>
      <w:r>
        <w:rPr>
          <w:rFonts w:hint="eastAsia"/>
          <w:iCs/>
          <w:u w:val="single"/>
          <w:lang w:val="en-US" w:eastAsia="zh-CN"/>
        </w:rPr>
        <w:t>mechanism</w:t>
      </w:r>
    </w:p>
    <w:p w14:paraId="5A36C9DD">
      <w:pPr>
        <w:rPr>
          <w:rFonts w:hint="eastAsia"/>
          <w:iCs/>
          <w:u w:val="single"/>
          <w:lang w:val="en-US" w:eastAsia="zh-CN"/>
        </w:rPr>
      </w:pPr>
      <w:r>
        <w:rPr>
          <w:rFonts w:hint="eastAsia"/>
          <w:iCs/>
          <w:u w:val="single"/>
          <w:lang w:val="en-US" w:eastAsia="zh-CN"/>
        </w:rPr>
        <w:t>Issue 1-4-9 Measurement enhancement for ATG UE with antenna array</w:t>
      </w:r>
    </w:p>
    <w:p w14:paraId="4430DCBC">
      <w:pPr>
        <w:pStyle w:val="2"/>
        <w:rPr>
          <w:rFonts w:hint="default"/>
          <w:lang w:val="en-US" w:eastAsia="ja-JP"/>
        </w:rPr>
      </w:pPr>
      <w:r>
        <w:rPr>
          <w:lang w:eastAsia="ja-JP"/>
        </w:rPr>
        <w:t xml:space="preserve">Topic #1: </w:t>
      </w:r>
      <w:r>
        <w:rPr>
          <w:rFonts w:hint="eastAsia"/>
          <w:lang w:val="en-US" w:eastAsia="zh-CN"/>
        </w:rPr>
        <w:t>RRM core requirements</w:t>
      </w:r>
    </w:p>
    <w:p w14:paraId="472B6A7B">
      <w:pPr>
        <w:spacing w:after="120"/>
        <w:rPr>
          <w:b/>
          <w:color w:val="0070C0"/>
          <w:u w:val="single"/>
          <w:lang w:val="en-US" w:eastAsia="zh-CN"/>
        </w:rPr>
      </w:pPr>
      <w:r>
        <w:rPr>
          <w:b/>
          <w:color w:val="0070C0"/>
          <w:u w:val="single"/>
          <w:lang w:eastAsia="ko-KR"/>
        </w:rPr>
        <w:t>Issue 1-1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UE antenna type for inter-band CA</w:t>
      </w:r>
    </w:p>
    <w:p w14:paraId="214E867B">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hint="eastAsia" w:eastAsia="宋体"/>
          <w:b/>
          <w:bCs/>
          <w:color w:val="0070C0"/>
          <w:szCs w:val="24"/>
          <w:lang w:val="en-US" w:eastAsia="zh-CN"/>
        </w:rPr>
        <w:t>Background</w:t>
      </w:r>
    </w:p>
    <w:p w14:paraId="0E3824ED">
      <w:pPr>
        <w:tabs>
          <w:tab w:val="left" w:pos="1134"/>
        </w:tabs>
        <w:spacing w:after="120"/>
        <w:ind w:left="800" w:leftChars="400"/>
        <w:jc w:val="both"/>
        <w:rPr>
          <w:color w:val="auto"/>
          <w:szCs w:val="24"/>
          <w:highlight w:val="green"/>
          <w:lang w:val="en-US" w:eastAsia="zh-CN"/>
        </w:rPr>
      </w:pPr>
      <w:r>
        <w:rPr>
          <w:rFonts w:hint="eastAsia"/>
          <w:color w:val="auto"/>
          <w:szCs w:val="24"/>
          <w:highlight w:val="green"/>
          <w:lang w:val="en-US" w:eastAsia="zh-CN"/>
        </w:rPr>
        <w:t>Agreement from RAN4#114 RF session:</w:t>
      </w:r>
    </w:p>
    <w:p w14:paraId="2181691C">
      <w:pPr>
        <w:rPr>
          <w:highlight w:val="green"/>
          <w:lang w:eastAsia="zh-CN"/>
        </w:rPr>
      </w:pPr>
      <w:r>
        <w:rPr>
          <w:rFonts w:hint="eastAsia"/>
          <w:highlight w:val="green"/>
          <w:lang w:eastAsia="zh-CN"/>
        </w:rPr>
        <w:t>Agreement</w:t>
      </w:r>
      <w:r>
        <w:rPr>
          <w:highlight w:val="green"/>
          <w:lang w:eastAsia="zh-CN"/>
        </w:rPr>
        <w:t>:</w:t>
      </w:r>
    </w:p>
    <w:p w14:paraId="562CB4C7">
      <w:pPr>
        <w:pStyle w:val="150"/>
        <w:numPr>
          <w:ilvl w:val="0"/>
          <w:numId w:val="3"/>
        </w:numPr>
        <w:spacing w:after="120"/>
        <w:ind w:firstLineChars="0"/>
        <w:rPr>
          <w:highlight w:val="green"/>
          <w:lang w:val="en-US" w:eastAsia="zh-CN"/>
        </w:rPr>
      </w:pPr>
      <w:r>
        <w:rPr>
          <w:rFonts w:eastAsiaTheme="minorEastAsia"/>
          <w:highlight w:val="green"/>
          <w:lang w:val="en-US" w:eastAsia="zh-CN"/>
        </w:rPr>
        <w:t xml:space="preserve">ATG UE with an antenna array on the bands of PCC and SCC, and one common Rx beam </w:t>
      </w:r>
      <w:r>
        <w:rPr>
          <w:rFonts w:hint="eastAsia" w:eastAsiaTheme="minorEastAsia"/>
          <w:highlight w:val="green"/>
          <w:lang w:val="en-US" w:eastAsia="zh-CN"/>
        </w:rPr>
        <w:t xml:space="preserve">is possible for </w:t>
      </w:r>
      <w:r>
        <w:rPr>
          <w:rFonts w:eastAsiaTheme="minorEastAsia"/>
          <w:highlight w:val="green"/>
          <w:lang w:val="en-US" w:eastAsia="zh-CN"/>
        </w:rPr>
        <w:t>specific</w:t>
      </w:r>
      <w:r>
        <w:rPr>
          <w:rFonts w:hint="eastAsia" w:eastAsiaTheme="minorEastAsia"/>
          <w:highlight w:val="green"/>
          <w:lang w:val="en-US" w:eastAsia="zh-CN"/>
        </w:rPr>
        <w:t xml:space="preserve"> band </w:t>
      </w:r>
      <w:r>
        <w:rPr>
          <w:rFonts w:eastAsiaTheme="minorEastAsia"/>
          <w:highlight w:val="green"/>
          <w:lang w:val="en-US" w:eastAsia="zh-CN"/>
        </w:rPr>
        <w:t>combination.</w:t>
      </w:r>
    </w:p>
    <w:p w14:paraId="491FF435">
      <w:pPr>
        <w:pStyle w:val="150"/>
        <w:numPr>
          <w:ilvl w:val="1"/>
          <w:numId w:val="3"/>
        </w:numPr>
        <w:spacing w:after="120"/>
        <w:ind w:firstLineChars="0"/>
        <w:rPr>
          <w:highlight w:val="green"/>
          <w:lang w:val="en-US" w:eastAsia="zh-CN"/>
        </w:rPr>
      </w:pPr>
      <w:r>
        <w:rPr>
          <w:rFonts w:hint="eastAsia" w:eastAsiaTheme="minorEastAsia"/>
          <w:highlight w:val="green"/>
          <w:lang w:val="en-US" w:eastAsia="zh-CN"/>
        </w:rPr>
        <w:t xml:space="preserve">Antenna array </w:t>
      </w:r>
      <w:r>
        <w:rPr>
          <w:rFonts w:eastAsiaTheme="minorEastAsia"/>
          <w:highlight w:val="green"/>
          <w:lang w:val="en-US" w:eastAsia="zh-CN"/>
        </w:rPr>
        <w:t>type</w:t>
      </w:r>
      <w:r>
        <w:rPr>
          <w:rFonts w:hint="eastAsia" w:eastAsiaTheme="minorEastAsia"/>
          <w:highlight w:val="green"/>
          <w:lang w:val="en-US" w:eastAsia="zh-CN"/>
        </w:rPr>
        <w:t xml:space="preserve"> for inter-band CA is highly </w:t>
      </w:r>
      <w:r>
        <w:rPr>
          <w:rFonts w:eastAsiaTheme="minorEastAsia"/>
          <w:highlight w:val="green"/>
          <w:lang w:val="en-US" w:eastAsia="zh-CN"/>
        </w:rPr>
        <w:t>depending</w:t>
      </w:r>
      <w:r>
        <w:rPr>
          <w:rFonts w:hint="eastAsia" w:eastAsiaTheme="minorEastAsia"/>
          <w:highlight w:val="green"/>
          <w:lang w:val="en-US" w:eastAsia="zh-CN"/>
        </w:rPr>
        <w:t xml:space="preserve"> on frequency range of operating bands and UE implementation.</w:t>
      </w:r>
    </w:p>
    <w:p w14:paraId="582D7B80">
      <w:pPr>
        <w:pStyle w:val="150"/>
        <w:numPr>
          <w:ilvl w:val="1"/>
          <w:numId w:val="3"/>
        </w:numPr>
        <w:spacing w:after="120"/>
        <w:ind w:firstLineChars="0"/>
        <w:rPr>
          <w:highlight w:val="green"/>
          <w:lang w:val="en-US" w:eastAsia="zh-CN"/>
        </w:rPr>
      </w:pPr>
      <w:r>
        <w:rPr>
          <w:rFonts w:hint="eastAsia" w:eastAsiaTheme="minorEastAsia"/>
          <w:highlight w:val="green"/>
          <w:lang w:val="en-US" w:eastAsia="zh-CN"/>
        </w:rPr>
        <w:t xml:space="preserve">Option 1: Case 4 UE implementation is possible for </w:t>
      </w:r>
      <w:r>
        <w:rPr>
          <w:highlight w:val="green"/>
          <w:lang w:eastAsia="zh-CN"/>
        </w:rPr>
        <w:t>CA_n3-n39</w:t>
      </w:r>
      <w:r>
        <w:rPr>
          <w:rFonts w:eastAsiaTheme="minorEastAsia"/>
          <w:highlight w:val="green"/>
          <w:lang w:eastAsia="zh-CN"/>
        </w:rPr>
        <w:t xml:space="preserve"> that</w:t>
      </w:r>
      <w:r>
        <w:rPr>
          <w:rFonts w:hint="eastAsia" w:eastAsiaTheme="minorEastAsia"/>
          <w:highlight w:val="green"/>
          <w:lang w:eastAsia="zh-CN"/>
        </w:rPr>
        <w:t xml:space="preserve"> frequency ranges between two bands are close to each other.</w:t>
      </w:r>
    </w:p>
    <w:p w14:paraId="4A0EBFC7">
      <w:pPr>
        <w:pStyle w:val="150"/>
        <w:numPr>
          <w:ilvl w:val="1"/>
          <w:numId w:val="3"/>
        </w:numPr>
        <w:spacing w:after="120"/>
        <w:ind w:firstLineChars="0"/>
        <w:rPr>
          <w:rFonts w:eastAsia="MS Mincho"/>
          <w:highlight w:val="green"/>
          <w:lang w:val="en-US" w:eastAsia="zh-CN"/>
        </w:rPr>
      </w:pPr>
      <w:r>
        <w:rPr>
          <w:rFonts w:hint="eastAsia" w:eastAsiaTheme="minorEastAsia"/>
          <w:highlight w:val="green"/>
          <w:lang w:val="en-US" w:eastAsia="zh-CN"/>
        </w:rPr>
        <w:t xml:space="preserve">Option 2: Case 4 UE implementation is possible for </w:t>
      </w:r>
      <w:r>
        <w:rPr>
          <w:highlight w:val="green"/>
          <w:lang w:eastAsia="zh-CN"/>
        </w:rPr>
        <w:t>CA_n3-n39</w:t>
      </w:r>
      <w:r>
        <w:rPr>
          <w:rFonts w:eastAsiaTheme="minorEastAsia"/>
          <w:highlight w:val="green"/>
          <w:lang w:eastAsia="zh-CN"/>
        </w:rPr>
        <w:t xml:space="preserve"> that DL frequency separation between two bands are less than [X=FFS, e.g, 500 MHz].</w:t>
      </w:r>
    </w:p>
    <w:p w14:paraId="2FA531EB">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7BF611BC">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w:t>
      </w:r>
      <w:r>
        <w:rPr>
          <w:rFonts w:hint="eastAsia" w:eastAsia="宋体"/>
          <w:color w:val="0070C0"/>
          <w:szCs w:val="24"/>
          <w:lang w:eastAsia="zh-CN"/>
        </w:rPr>
        <w:t xml:space="preserve">1: </w:t>
      </w:r>
      <w:r>
        <w:rPr>
          <w:rFonts w:hint="eastAsia" w:eastAsia="宋体"/>
          <w:color w:val="0070C0"/>
          <w:szCs w:val="24"/>
          <w:lang w:eastAsia="ko-KR"/>
        </w:rPr>
        <w:t>RAN4 RRM to wait for RF conclusion for Case 4 antenna type discussion</w:t>
      </w:r>
      <w:r>
        <w:rPr>
          <w:rFonts w:hint="eastAsia" w:eastAsia="宋体"/>
          <w:color w:val="0070C0"/>
          <w:szCs w:val="24"/>
          <w:lang w:val="en-US" w:eastAsia="zh-CN"/>
        </w:rPr>
        <w:t>. (LGE, CMCC, HW, Ericsson)</w:t>
      </w:r>
    </w:p>
    <w:p w14:paraId="4B05DF2F">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2: (ZTE)</w:t>
      </w:r>
    </w:p>
    <w:p w14:paraId="601F0A86">
      <w:pPr>
        <w:pStyle w:val="150"/>
        <w:numPr>
          <w:ilvl w:val="2"/>
          <w:numId w:val="3"/>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Pay more attention to the Rx beam assumption instead of antenna assumption, not preclude any possible antenna implementation for inter-band CA. Refine the Case 4 and Case 5 as below and keep both of them:</w:t>
      </w:r>
    </w:p>
    <w:p w14:paraId="3A604245">
      <w:pPr>
        <w:pStyle w:val="150"/>
        <w:numPr>
          <w:ilvl w:val="3"/>
          <w:numId w:val="3"/>
        </w:numPr>
        <w:overflowPunct/>
        <w:autoSpaceDE/>
        <w:autoSpaceDN/>
        <w:adjustRightInd/>
        <w:spacing w:after="120"/>
        <w:ind w:left="2280" w:firstLineChars="0"/>
        <w:textAlignment w:val="auto"/>
        <w:rPr>
          <w:rFonts w:eastAsia="宋体"/>
          <w:color w:val="0070C0"/>
          <w:szCs w:val="24"/>
          <w:lang w:eastAsia="zh-CN"/>
        </w:rPr>
      </w:pPr>
      <w:r>
        <w:rPr>
          <w:rFonts w:hint="eastAsia" w:eastAsia="宋体"/>
          <w:color w:val="0070C0"/>
          <w:szCs w:val="24"/>
          <w:lang w:eastAsia="zh-CN"/>
        </w:rPr>
        <w:t xml:space="preserve">Case 4. ATG UE with </w:t>
      </w:r>
      <w:r>
        <w:rPr>
          <w:rFonts w:eastAsia="宋体"/>
          <w:strike/>
          <w:color w:val="0070C0"/>
          <w:szCs w:val="24"/>
          <w:lang w:eastAsia="zh-CN"/>
        </w:rPr>
        <w:t xml:space="preserve">an </w:t>
      </w:r>
      <w:r>
        <w:rPr>
          <w:rFonts w:hint="eastAsia" w:eastAsia="宋体"/>
          <w:color w:val="0070C0"/>
          <w:szCs w:val="24"/>
          <w:lang w:eastAsia="zh-CN"/>
        </w:rPr>
        <w:t>antenna array(s) on the bands of PCC and SCC, and one common Rx beam assumed.</w:t>
      </w:r>
    </w:p>
    <w:p w14:paraId="258A20FF">
      <w:pPr>
        <w:pStyle w:val="150"/>
        <w:numPr>
          <w:ilvl w:val="3"/>
          <w:numId w:val="3"/>
        </w:numPr>
        <w:overflowPunct/>
        <w:autoSpaceDE/>
        <w:autoSpaceDN/>
        <w:adjustRightInd/>
        <w:spacing w:after="120"/>
        <w:ind w:left="2280" w:firstLineChars="0"/>
        <w:textAlignment w:val="auto"/>
        <w:rPr>
          <w:rFonts w:eastAsia="宋体"/>
          <w:color w:val="0070C0"/>
          <w:szCs w:val="24"/>
          <w:lang w:eastAsia="zh-CN"/>
        </w:rPr>
      </w:pPr>
      <w:r>
        <w:rPr>
          <w:rFonts w:hint="eastAsia" w:eastAsia="宋体"/>
          <w:color w:val="0070C0"/>
          <w:szCs w:val="24"/>
          <w:lang w:eastAsia="zh-CN"/>
        </w:rPr>
        <w:t xml:space="preserve">Case 5. ATG UE with </w:t>
      </w:r>
      <w:r>
        <w:rPr>
          <w:rFonts w:eastAsia="宋体"/>
          <w:strike/>
          <w:color w:val="0070C0"/>
          <w:szCs w:val="24"/>
          <w:lang w:eastAsia="zh-CN"/>
        </w:rPr>
        <w:t xml:space="preserve">an </w:t>
      </w:r>
      <w:r>
        <w:rPr>
          <w:rFonts w:hint="eastAsia" w:eastAsia="宋体"/>
          <w:color w:val="0070C0"/>
          <w:szCs w:val="24"/>
          <w:lang w:eastAsia="zh-CN"/>
        </w:rPr>
        <w:t>antenna array(s) on the bands of PCC and SCC, and two simultaneous separate Rx beams assumed.</w:t>
      </w:r>
    </w:p>
    <w:p w14:paraId="18EE34A1">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Proposal 3: </w:t>
      </w:r>
      <w:r>
        <w:rPr>
          <w:rFonts w:hint="eastAsia" w:eastAsia="宋体"/>
          <w:color w:val="0070C0"/>
          <w:szCs w:val="24"/>
          <w:lang w:eastAsia="zh-CN"/>
        </w:rPr>
        <w:t>To support Case 4 antenna type, MRTD, reception power difference for two bands, and DL frequency separation should be restricted to avoid critical rece</w:t>
      </w:r>
      <w:r>
        <w:rPr>
          <w:rFonts w:hint="eastAsia" w:eastAsia="宋体"/>
          <w:color w:val="0070C0"/>
          <w:szCs w:val="24"/>
          <w:lang w:val="en-US" w:eastAsia="zh-CN"/>
        </w:rPr>
        <w:t>i</w:t>
      </w:r>
      <w:r>
        <w:rPr>
          <w:rFonts w:hint="eastAsia" w:eastAsia="宋体"/>
          <w:color w:val="0070C0"/>
          <w:szCs w:val="24"/>
          <w:lang w:eastAsia="zh-CN"/>
        </w:rPr>
        <w:t>ving performance degradation, e.g., conditions for intra-band NCCA operation</w:t>
      </w:r>
      <w:r>
        <w:rPr>
          <w:rFonts w:hint="eastAsia" w:eastAsia="宋体"/>
          <w:color w:val="0070C0"/>
          <w:szCs w:val="24"/>
          <w:lang w:val="en-US" w:eastAsia="zh-CN"/>
        </w:rPr>
        <w:t>. (LGE)</w:t>
      </w:r>
    </w:p>
    <w:p w14:paraId="43A467D8">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0BA77D1">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Consider RRM requirements for Case#4 UE.</w:t>
      </w:r>
    </w:p>
    <w:p w14:paraId="37ACDEF4">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Further refine the description of Case#4 UE and Case#5 UE in the UE capability if needed.</w:t>
      </w:r>
    </w:p>
    <w:p w14:paraId="6443F837">
      <w:pPr>
        <w:spacing w:after="120"/>
        <w:rPr>
          <w:color w:val="0070C0"/>
          <w:szCs w:val="24"/>
          <w:lang w:eastAsia="zh-CN"/>
        </w:rPr>
      </w:pPr>
    </w:p>
    <w:p w14:paraId="7EB13DCD">
      <w:pPr>
        <w:spacing w:after="120"/>
        <w:rPr>
          <w:rFonts w:hint="eastAsia"/>
          <w:color w:val="0070C0"/>
          <w:szCs w:val="24"/>
          <w:lang w:val="en-US" w:eastAsia="zh-CN"/>
        </w:rPr>
      </w:pPr>
      <w:r>
        <w:rPr>
          <w:rFonts w:hint="eastAsia"/>
          <w:color w:val="0070C0"/>
          <w:szCs w:val="24"/>
          <w:lang w:val="en-US" w:eastAsia="zh-CN"/>
        </w:rPr>
        <w:t>LGE: What to refine?</w:t>
      </w:r>
    </w:p>
    <w:p w14:paraId="3CC9BA67">
      <w:pPr>
        <w:spacing w:after="120"/>
        <w:rPr>
          <w:rFonts w:hint="eastAsia"/>
          <w:color w:val="0070C0"/>
          <w:szCs w:val="24"/>
          <w:lang w:val="en-US" w:eastAsia="zh-CN"/>
        </w:rPr>
      </w:pPr>
      <w:r>
        <w:rPr>
          <w:rFonts w:hint="eastAsia"/>
          <w:color w:val="0070C0"/>
          <w:szCs w:val="24"/>
          <w:lang w:val="en-US" w:eastAsia="zh-CN"/>
        </w:rPr>
        <w:t>ZTE: propose to refine to address the concern from RF. RF says based on implementation, open to do the refine, just not to restrict the UE implementation</w:t>
      </w:r>
    </w:p>
    <w:p w14:paraId="60905A45">
      <w:pPr>
        <w:spacing w:after="120"/>
        <w:rPr>
          <w:rFonts w:hint="eastAsia"/>
          <w:color w:val="0070C0"/>
          <w:szCs w:val="24"/>
          <w:lang w:val="en-US" w:eastAsia="zh-CN"/>
        </w:rPr>
      </w:pPr>
      <w:r>
        <w:rPr>
          <w:rFonts w:hint="eastAsia"/>
          <w:color w:val="0070C0"/>
          <w:szCs w:val="24"/>
          <w:lang w:val="en-US" w:eastAsia="zh-CN"/>
        </w:rPr>
        <w:t>E///: There are two Options in RF. Case 4 is corner case as stated in Option 2.</w:t>
      </w:r>
    </w:p>
    <w:p w14:paraId="33CC0033">
      <w:pPr>
        <w:spacing w:after="120"/>
        <w:rPr>
          <w:rFonts w:hint="eastAsia"/>
          <w:color w:val="0070C0"/>
          <w:szCs w:val="24"/>
          <w:lang w:val="en-US" w:eastAsia="zh-CN"/>
        </w:rPr>
      </w:pPr>
      <w:r>
        <w:rPr>
          <w:rFonts w:hint="eastAsia"/>
          <w:color w:val="0070C0"/>
          <w:szCs w:val="24"/>
          <w:lang w:val="en-US" w:eastAsia="zh-CN"/>
        </w:rPr>
        <w:t>ZTE: Don</w:t>
      </w:r>
      <w:r>
        <w:rPr>
          <w:rFonts w:hint="default"/>
          <w:color w:val="0070C0"/>
          <w:szCs w:val="24"/>
          <w:lang w:val="en-US" w:eastAsia="zh-CN"/>
        </w:rPr>
        <w:t>’</w:t>
      </w:r>
      <w:r>
        <w:rPr>
          <w:rFonts w:hint="eastAsia"/>
          <w:color w:val="0070C0"/>
          <w:szCs w:val="24"/>
          <w:lang w:val="en-US" w:eastAsia="zh-CN"/>
        </w:rPr>
        <w:t>t decide corner or not. Just follow RF.</w:t>
      </w:r>
    </w:p>
    <w:p w14:paraId="32B4B1E9">
      <w:pPr>
        <w:spacing w:after="120"/>
        <w:rPr>
          <w:rFonts w:hint="default"/>
          <w:color w:val="0070C0"/>
          <w:szCs w:val="24"/>
          <w:lang w:val="en-US" w:eastAsia="zh-CN"/>
        </w:rPr>
      </w:pPr>
      <w:r>
        <w:rPr>
          <w:rFonts w:hint="eastAsia"/>
          <w:color w:val="0070C0"/>
          <w:szCs w:val="24"/>
          <w:lang w:val="en-US" w:eastAsia="zh-CN"/>
        </w:rPr>
        <w:t>HW: Share similar concern from E///. Further check whether is sufficient.</w:t>
      </w:r>
    </w:p>
    <w:p w14:paraId="68BB022F">
      <w:pPr>
        <w:spacing w:after="120"/>
        <w:rPr>
          <w:rFonts w:hint="eastAsia"/>
          <w:color w:val="0070C0"/>
          <w:szCs w:val="24"/>
          <w:lang w:val="en-US" w:eastAsia="zh-CN"/>
        </w:rPr>
      </w:pPr>
      <w:r>
        <w:rPr>
          <w:rFonts w:hint="eastAsia"/>
          <w:color w:val="0070C0"/>
          <w:szCs w:val="24"/>
          <w:lang w:val="en-US" w:eastAsia="zh-CN"/>
        </w:rPr>
        <w:t>LGE: Not the corner case. Proposed CA combination.</w:t>
      </w:r>
    </w:p>
    <w:p w14:paraId="32A27821">
      <w:pPr>
        <w:spacing w:after="120"/>
        <w:rPr>
          <w:rFonts w:hint="eastAsia"/>
          <w:color w:val="0070C0"/>
          <w:szCs w:val="24"/>
          <w:lang w:val="en-US" w:eastAsia="zh-CN"/>
        </w:rPr>
      </w:pPr>
      <w:r>
        <w:rPr>
          <w:rFonts w:hint="eastAsia"/>
          <w:color w:val="0070C0"/>
          <w:szCs w:val="24"/>
          <w:lang w:val="en-US" w:eastAsia="zh-CN"/>
        </w:rPr>
        <w:t>CMCC/CATT: example band n3 and n39</w:t>
      </w:r>
    </w:p>
    <w:p w14:paraId="4852DF60">
      <w:pPr>
        <w:spacing w:after="120"/>
        <w:rPr>
          <w:rFonts w:hint="default"/>
          <w:color w:val="0070C0"/>
          <w:szCs w:val="24"/>
          <w:lang w:val="en-US" w:eastAsia="zh-CN"/>
        </w:rPr>
      </w:pPr>
      <w:r>
        <w:rPr>
          <w:rFonts w:hint="eastAsia"/>
          <w:color w:val="0070C0"/>
          <w:szCs w:val="24"/>
          <w:lang w:val="en-US" w:eastAsia="zh-CN"/>
        </w:rPr>
        <w:t>HW: possible is not strong word, is the time sufficient for core requirement definition</w:t>
      </w:r>
    </w:p>
    <w:p w14:paraId="449C94F5">
      <w:pPr>
        <w:spacing w:after="120"/>
        <w:rPr>
          <w:rFonts w:hint="eastAsia"/>
          <w:color w:val="0070C0"/>
          <w:szCs w:val="24"/>
          <w:lang w:val="en-US" w:eastAsia="zh-CN"/>
        </w:rPr>
      </w:pPr>
      <w:r>
        <w:rPr>
          <w:rFonts w:hint="eastAsia"/>
          <w:color w:val="0070C0"/>
          <w:szCs w:val="24"/>
          <w:lang w:val="en-US" w:eastAsia="zh-CN"/>
        </w:rPr>
        <w:t>LGE: RF has agreed CASE4 is possible.</w:t>
      </w:r>
    </w:p>
    <w:p w14:paraId="19171C21">
      <w:pPr>
        <w:spacing w:after="120"/>
        <w:rPr>
          <w:rFonts w:hint="default"/>
          <w:color w:val="0070C0"/>
          <w:szCs w:val="24"/>
          <w:lang w:val="en-US" w:eastAsia="zh-CN"/>
        </w:rPr>
      </w:pPr>
      <w:r>
        <w:rPr>
          <w:rFonts w:hint="eastAsia"/>
          <w:color w:val="0070C0"/>
          <w:szCs w:val="24"/>
          <w:lang w:val="en-US" w:eastAsia="zh-CN"/>
        </w:rPr>
        <w:t>E///: we are talking about whether RRM requirement will be defined for Case#4 or not</w:t>
      </w:r>
    </w:p>
    <w:p w14:paraId="2AC7EECA">
      <w:pPr>
        <w:spacing w:after="120"/>
        <w:rPr>
          <w:rFonts w:hint="default"/>
          <w:color w:val="0070C0"/>
          <w:szCs w:val="24"/>
          <w:lang w:val="en-US" w:eastAsia="zh-CN"/>
        </w:rPr>
      </w:pPr>
    </w:p>
    <w:p w14:paraId="58679476">
      <w:pPr>
        <w:rPr>
          <w:b/>
          <w:color w:val="0070C0"/>
          <w:u w:val="single"/>
          <w:lang w:val="en-US" w:eastAsia="ko-KR"/>
        </w:rPr>
      </w:pPr>
      <w:r>
        <w:rPr>
          <w:b/>
          <w:color w:val="0070C0"/>
          <w:u w:val="single"/>
          <w:lang w:eastAsia="ko-KR"/>
        </w:rPr>
        <w:t>Issue 1-</w:t>
      </w:r>
      <w:r>
        <w:rPr>
          <w:rFonts w:hint="eastAsia"/>
          <w:b/>
          <w:color w:val="0070C0"/>
          <w:u w:val="single"/>
          <w:lang w:val="en-US" w:eastAsia="zh-CN"/>
        </w:rPr>
        <w:t>2-1</w:t>
      </w:r>
      <w:r>
        <w:rPr>
          <w:b/>
          <w:color w:val="0070C0"/>
          <w:u w:val="single"/>
          <w:lang w:eastAsia="ko-KR"/>
        </w:rPr>
        <w:t xml:space="preserve">: </w:t>
      </w:r>
      <w:r>
        <w:rPr>
          <w:rFonts w:hint="eastAsia"/>
          <w:b/>
          <w:color w:val="0070C0"/>
          <w:u w:val="single"/>
          <w:lang w:val="en-US" w:eastAsia="zh-CN"/>
        </w:rPr>
        <w:t>MRTD for ATG inter-band CA</w:t>
      </w:r>
    </w:p>
    <w:p w14:paraId="31110F9C">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30713A08">
      <w:pPr>
        <w:pStyle w:val="150"/>
        <w:numPr>
          <w:ilvl w:val="0"/>
          <w:numId w:val="3"/>
        </w:numPr>
        <w:overflowPunct/>
        <w:autoSpaceDE/>
        <w:autoSpaceDN/>
        <w:adjustRightInd/>
        <w:spacing w:after="120"/>
        <w:ind w:left="1020" w:firstLineChars="0"/>
        <w:textAlignment w:val="auto"/>
        <w:rPr>
          <w:rFonts w:eastAsia="宋体"/>
          <w:color w:val="0070C0"/>
          <w:szCs w:val="24"/>
          <w:lang w:eastAsia="zh-CN"/>
        </w:rPr>
      </w:pPr>
      <w:r>
        <w:rPr>
          <w:rFonts w:hint="eastAsia" w:eastAsia="宋体"/>
          <w:color w:val="0070C0"/>
          <w:szCs w:val="24"/>
          <w:lang w:val="en-US" w:eastAsia="zh-CN"/>
        </w:rPr>
        <w:t>Proposals for UE except Case#4:</w:t>
      </w:r>
    </w:p>
    <w:p w14:paraId="403F1B06">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1: 33µs (CMCC, CATT, HW, Ericsson)</w:t>
      </w:r>
    </w:p>
    <w:p w14:paraId="69133293">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2: Not larger than 3µs (ZTE)</w:t>
      </w:r>
    </w:p>
    <w:p w14:paraId="5C3F5B48">
      <w:pPr>
        <w:pStyle w:val="150"/>
        <w:numPr>
          <w:ilvl w:val="0"/>
          <w:numId w:val="3"/>
        </w:numPr>
        <w:overflowPunct/>
        <w:autoSpaceDE/>
        <w:autoSpaceDN/>
        <w:adjustRightInd/>
        <w:spacing w:after="120"/>
        <w:ind w:left="1020" w:firstLineChars="0"/>
        <w:textAlignment w:val="auto"/>
        <w:rPr>
          <w:rFonts w:eastAsia="宋体"/>
          <w:color w:val="0070C0"/>
          <w:szCs w:val="24"/>
          <w:lang w:eastAsia="zh-CN"/>
        </w:rPr>
      </w:pPr>
      <w:r>
        <w:rPr>
          <w:rFonts w:hint="eastAsia" w:eastAsia="宋体"/>
          <w:color w:val="0070C0"/>
          <w:szCs w:val="24"/>
          <w:lang w:val="en-US" w:eastAsia="zh-CN"/>
        </w:rPr>
        <w:t>Proposals for UE Case#4</w:t>
      </w:r>
    </w:p>
    <w:p w14:paraId="0D5F62FB">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1: 33µs (CMCC, Ericsson)</w:t>
      </w:r>
    </w:p>
    <w:p w14:paraId="3BD024F6">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2: at least 3µs (LGE)</w:t>
      </w:r>
    </w:p>
    <w:p w14:paraId="351F3E2A">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3: Not larger than 3µs (ZTE)</w:t>
      </w:r>
    </w:p>
    <w:p w14:paraId="59CC774C">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 4: FFS (CATT)</w:t>
      </w:r>
    </w:p>
    <w:p w14:paraId="7102C329">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588177E5">
      <w:pPr>
        <w:pStyle w:val="150"/>
        <w:numPr>
          <w:ilvl w:val="1"/>
          <w:numId w:val="3"/>
        </w:numPr>
        <w:overflowPunct/>
        <w:autoSpaceDE/>
        <w:autoSpaceDN/>
        <w:adjustRightInd/>
        <w:spacing w:after="120"/>
        <w:ind w:left="1440" w:firstLineChars="0"/>
        <w:textAlignment w:val="auto"/>
        <w:rPr>
          <w:color w:val="0070C0"/>
          <w:lang w:val="en-US" w:eastAsia="zh-CN"/>
        </w:rPr>
      </w:pPr>
      <w:r>
        <w:rPr>
          <w:rFonts w:hint="eastAsia"/>
          <w:color w:val="0070C0"/>
          <w:lang w:val="en-US" w:eastAsia="zh-CN"/>
        </w:rPr>
        <w:t>For the MRTD except Case#4</w:t>
      </w:r>
    </w:p>
    <w:p w14:paraId="278E480C">
      <w:pPr>
        <w:pStyle w:val="150"/>
        <w:numPr>
          <w:ilvl w:val="2"/>
          <w:numId w:val="3"/>
        </w:numPr>
        <w:overflowPunct/>
        <w:autoSpaceDE/>
        <w:autoSpaceDN/>
        <w:adjustRightInd/>
        <w:spacing w:after="120"/>
        <w:ind w:left="1860" w:firstLineChars="0"/>
        <w:textAlignment w:val="auto"/>
        <w:rPr>
          <w:color w:val="0070C0"/>
          <w:lang w:val="en-US" w:eastAsia="zh-CN"/>
        </w:rPr>
      </w:pPr>
      <w:r>
        <w:rPr>
          <w:rFonts w:hint="eastAsia" w:eastAsia="宋体"/>
          <w:color w:val="0070C0"/>
          <w:szCs w:val="24"/>
          <w:lang w:val="en-US" w:eastAsia="zh-CN"/>
        </w:rPr>
        <w:t xml:space="preserve">33µs </w:t>
      </w:r>
    </w:p>
    <w:p w14:paraId="26981DF4">
      <w:pPr>
        <w:pStyle w:val="150"/>
        <w:numPr>
          <w:ilvl w:val="1"/>
          <w:numId w:val="3"/>
        </w:numPr>
        <w:overflowPunct/>
        <w:autoSpaceDE/>
        <w:autoSpaceDN/>
        <w:adjustRightInd/>
        <w:spacing w:after="120"/>
        <w:ind w:left="1440" w:firstLineChars="0"/>
        <w:textAlignment w:val="auto"/>
        <w:rPr>
          <w:color w:val="0070C0"/>
          <w:lang w:val="en-US" w:eastAsia="zh-CN"/>
        </w:rPr>
      </w:pPr>
      <w:r>
        <w:rPr>
          <w:rFonts w:hint="eastAsia" w:eastAsia="宋体"/>
          <w:color w:val="0070C0"/>
          <w:szCs w:val="24"/>
          <w:lang w:val="en-US" w:eastAsia="zh-CN"/>
        </w:rPr>
        <w:t>FFS for the MRTD for Case#4</w:t>
      </w:r>
    </w:p>
    <w:p w14:paraId="34D7BA22">
      <w:pPr>
        <w:spacing w:after="120"/>
        <w:rPr>
          <w:rFonts w:hint="default"/>
          <w:color w:val="0070C0"/>
          <w:szCs w:val="24"/>
          <w:lang w:val="en-US" w:eastAsia="zh-CN"/>
        </w:rPr>
      </w:pPr>
      <w:r>
        <w:rPr>
          <w:rFonts w:hint="eastAsia"/>
          <w:color w:val="0070C0"/>
          <w:szCs w:val="24"/>
          <w:lang w:val="en-US" w:eastAsia="zh-CN"/>
        </w:rPr>
        <w:t>ZTE/LGE: For case#4, 3</w:t>
      </w:r>
      <w:r>
        <w:rPr>
          <w:rFonts w:hint="eastAsia" w:eastAsia="宋体"/>
          <w:color w:val="0070C0"/>
          <w:szCs w:val="24"/>
          <w:lang w:val="en-US" w:eastAsia="zh-CN"/>
        </w:rPr>
        <w:t>µs</w:t>
      </w:r>
    </w:p>
    <w:p w14:paraId="52F01E89">
      <w:pPr>
        <w:spacing w:after="120"/>
        <w:rPr>
          <w:rFonts w:hint="eastAsia"/>
          <w:color w:val="0070C0"/>
          <w:szCs w:val="24"/>
          <w:lang w:val="en-US" w:eastAsia="zh-CN"/>
        </w:rPr>
      </w:pPr>
      <w:r>
        <w:rPr>
          <w:rFonts w:hint="eastAsia"/>
          <w:color w:val="0070C0"/>
          <w:szCs w:val="24"/>
          <w:lang w:val="en-US" w:eastAsia="zh-CN"/>
        </w:rPr>
        <w:t>E///: 3</w:t>
      </w:r>
      <w:r>
        <w:rPr>
          <w:rFonts w:hint="eastAsia" w:eastAsia="宋体"/>
          <w:color w:val="0070C0"/>
          <w:szCs w:val="24"/>
          <w:lang w:val="en-US" w:eastAsia="zh-CN"/>
        </w:rPr>
        <w:t>µs</w:t>
      </w:r>
      <w:r>
        <w:rPr>
          <w:rFonts w:hint="eastAsia"/>
          <w:color w:val="0070C0"/>
          <w:szCs w:val="24"/>
          <w:lang w:val="en-US" w:eastAsia="zh-CN"/>
        </w:rPr>
        <w:t xml:space="preserve"> is not enough.</w:t>
      </w:r>
    </w:p>
    <w:p w14:paraId="27833ABC">
      <w:pPr>
        <w:spacing w:after="120"/>
        <w:rPr>
          <w:rFonts w:hint="eastAsia"/>
          <w:color w:val="0070C0"/>
          <w:szCs w:val="24"/>
          <w:lang w:val="en-US" w:eastAsia="zh-CN"/>
        </w:rPr>
      </w:pPr>
      <w:r>
        <w:rPr>
          <w:rFonts w:hint="eastAsia"/>
          <w:color w:val="0070C0"/>
          <w:szCs w:val="24"/>
          <w:lang w:val="en-US" w:eastAsia="zh-CN"/>
        </w:rPr>
        <w:t>CMCC/HW/E///: Case#4 have 2 Rx chains, 33 is possible</w:t>
      </w:r>
    </w:p>
    <w:p w14:paraId="6F60C7D1">
      <w:pPr>
        <w:spacing w:after="120"/>
        <w:rPr>
          <w:rFonts w:hint="eastAsia"/>
          <w:color w:val="0070C0"/>
          <w:szCs w:val="24"/>
          <w:lang w:val="en-US" w:eastAsia="zh-CN"/>
        </w:rPr>
      </w:pPr>
      <w:r>
        <w:rPr>
          <w:rFonts w:hint="eastAsia"/>
          <w:color w:val="0070C0"/>
          <w:szCs w:val="24"/>
          <w:lang w:val="en-US" w:eastAsia="zh-CN"/>
        </w:rPr>
        <w:t>ZTE: actual TAE is much less than 3. To move forward, can compromise to 33.</w:t>
      </w:r>
    </w:p>
    <w:p w14:paraId="6F6F9EA2">
      <w:pPr>
        <w:spacing w:after="120"/>
        <w:rPr>
          <w:rFonts w:hint="default"/>
          <w:color w:val="0070C0"/>
          <w:szCs w:val="24"/>
          <w:lang w:val="en-US" w:eastAsia="zh-CN"/>
        </w:rPr>
      </w:pPr>
      <w:r>
        <w:rPr>
          <w:rFonts w:hint="eastAsia"/>
          <w:color w:val="0070C0"/>
          <w:szCs w:val="24"/>
          <w:lang w:val="en-US" w:eastAsia="zh-CN"/>
        </w:rPr>
        <w:t>LGE: the principle of MRTD is TAE and propagation delay, no or minur propagation delay here.</w:t>
      </w:r>
    </w:p>
    <w:p w14:paraId="2BFF5E54">
      <w:pPr>
        <w:spacing w:after="120"/>
        <w:rPr>
          <w:rFonts w:hint="eastAsia"/>
          <w:color w:val="0070C0"/>
          <w:szCs w:val="24"/>
          <w:lang w:val="en-US" w:eastAsia="zh-CN"/>
        </w:rPr>
      </w:pPr>
      <w:r>
        <w:rPr>
          <w:rFonts w:hint="eastAsia"/>
          <w:color w:val="0070C0"/>
          <w:szCs w:val="24"/>
          <w:lang w:val="en-US" w:eastAsia="zh-CN"/>
        </w:rPr>
        <w:t>CMCC: 33 also good for non-co-located scenario</w:t>
      </w:r>
    </w:p>
    <w:p w14:paraId="7A042A87">
      <w:pPr>
        <w:spacing w:after="120"/>
        <w:rPr>
          <w:rFonts w:hint="eastAsia"/>
          <w:color w:val="0070C0"/>
          <w:szCs w:val="24"/>
          <w:lang w:val="en-US" w:eastAsia="zh-CN"/>
        </w:rPr>
      </w:pPr>
      <w:r>
        <w:rPr>
          <w:rFonts w:hint="eastAsia"/>
          <w:color w:val="0070C0"/>
          <w:szCs w:val="24"/>
          <w:lang w:val="en-US" w:eastAsia="zh-CN"/>
        </w:rPr>
        <w:t>LGE: To move forward, can compromise to 33.</w:t>
      </w:r>
    </w:p>
    <w:p w14:paraId="6689B512">
      <w:pPr>
        <w:spacing w:after="120"/>
        <w:rPr>
          <w:rFonts w:hint="default"/>
          <w:color w:val="0070C0"/>
          <w:szCs w:val="24"/>
          <w:lang w:val="en-US" w:eastAsia="zh-CN"/>
        </w:rPr>
      </w:pPr>
    </w:p>
    <w:p w14:paraId="1ED261D2">
      <w:pPr>
        <w:spacing w:after="120"/>
        <w:rPr>
          <w:rFonts w:hint="default"/>
          <w:color w:val="0070C0"/>
          <w:szCs w:val="24"/>
          <w:highlight w:val="green"/>
          <w:lang w:val="en-US" w:eastAsia="zh-CN"/>
        </w:rPr>
      </w:pPr>
      <w:r>
        <w:rPr>
          <w:rFonts w:hint="eastAsia"/>
          <w:color w:val="0070C0"/>
          <w:szCs w:val="24"/>
          <w:highlight w:val="green"/>
          <w:lang w:val="en-US" w:eastAsia="zh-CN"/>
        </w:rPr>
        <w:t>Agreement: 33µs for the MRTD of ATG.</w:t>
      </w:r>
    </w:p>
    <w:p w14:paraId="5D3D1A7D">
      <w:pPr>
        <w:spacing w:after="120"/>
        <w:rPr>
          <w:rFonts w:hint="default"/>
          <w:color w:val="0070C0"/>
          <w:szCs w:val="24"/>
          <w:lang w:val="en-US" w:eastAsia="zh-CN"/>
        </w:rPr>
      </w:pPr>
    </w:p>
    <w:p w14:paraId="3E15980F">
      <w:pPr>
        <w:rPr>
          <w:b/>
          <w:color w:val="0070C0"/>
          <w:u w:val="single"/>
          <w:lang w:eastAsia="ko-KR"/>
        </w:rPr>
      </w:pPr>
      <w:r>
        <w:rPr>
          <w:b/>
          <w:color w:val="0070C0"/>
          <w:u w:val="single"/>
          <w:lang w:eastAsia="ko-KR"/>
        </w:rPr>
        <w:t>Issue 1-</w:t>
      </w:r>
      <w:r>
        <w:rPr>
          <w:rFonts w:hint="eastAsia"/>
          <w:b/>
          <w:color w:val="0070C0"/>
          <w:u w:val="single"/>
          <w:lang w:val="en-US" w:eastAsia="zh-CN"/>
        </w:rPr>
        <w:t>4-4</w:t>
      </w:r>
      <w:r>
        <w:rPr>
          <w:b/>
          <w:color w:val="0070C0"/>
          <w:u w:val="single"/>
          <w:lang w:eastAsia="ko-KR"/>
        </w:rPr>
        <w:t xml:space="preserve">: </w:t>
      </w:r>
      <w:r>
        <w:rPr>
          <w:rFonts w:hint="eastAsia"/>
          <w:b/>
          <w:color w:val="0070C0"/>
          <w:u w:val="single"/>
          <w:lang w:eastAsia="ko-KR"/>
        </w:rPr>
        <w:t>Deactivated SCell measurement</w:t>
      </w:r>
    </w:p>
    <w:p w14:paraId="682F50B5">
      <w:pPr>
        <w:pStyle w:val="150"/>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hint="eastAsia" w:eastAsia="宋体"/>
          <w:b/>
          <w:bCs/>
          <w:color w:val="0070C0"/>
          <w:szCs w:val="24"/>
          <w:lang w:val="en-US" w:eastAsia="zh-CN"/>
        </w:rPr>
        <w:t>Background</w:t>
      </w:r>
    </w:p>
    <w:p w14:paraId="78802EFE">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11F81ECF">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1: </w:t>
      </w:r>
      <w:r>
        <w:rPr>
          <w:rFonts w:hint="eastAsia" w:eastAsia="宋体"/>
          <w:color w:val="0070C0"/>
          <w:szCs w:val="24"/>
          <w:lang w:val="en-US" w:eastAsia="ko-KR"/>
        </w:rPr>
        <w:t>RAN4 not to consider L3/L1 measurement sharing factor K</w:t>
      </w:r>
      <w:r>
        <w:rPr>
          <w:rFonts w:hint="eastAsia" w:eastAsia="宋体"/>
          <w:color w:val="0070C0"/>
          <w:szCs w:val="24"/>
          <w:vertAlign w:val="subscript"/>
          <w:lang w:val="en-US" w:eastAsia="ko-KR"/>
        </w:rPr>
        <w:t>layer1_measurement</w:t>
      </w:r>
      <w:r>
        <w:rPr>
          <w:rFonts w:hint="eastAsia" w:eastAsia="宋体"/>
          <w:color w:val="0070C0"/>
          <w:szCs w:val="24"/>
          <w:lang w:val="en-US" w:eastAsia="ko-KR"/>
        </w:rPr>
        <w:t xml:space="preserve"> for deactivated SCell measurement</w:t>
      </w:r>
      <w:r>
        <w:rPr>
          <w:rFonts w:hint="eastAsia" w:eastAsia="宋体"/>
          <w:color w:val="0070C0"/>
          <w:szCs w:val="24"/>
          <w:lang w:val="en-US" w:eastAsia="zh-CN"/>
        </w:rPr>
        <w:t xml:space="preserve"> (LGE, ZTE)</w:t>
      </w:r>
    </w:p>
    <w:p w14:paraId="70366784">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(CMCC, CATT, [HW])</w:t>
      </w:r>
    </w:p>
    <w:p w14:paraId="55DE75B3">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For ATG UE antenna type Case 4, L1/L3 measurement sharing factor is needed</w:t>
      </w:r>
    </w:p>
    <w:p w14:paraId="64F102F0">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For ATG UE antenna types except Case 4, L1/L3 measurement sharing factor is not needed</w:t>
      </w:r>
    </w:p>
    <w:p w14:paraId="3CDFB57B">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33A1C24D">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For ATG UE antenna types except Case 4, L1/L3 measurement sharing factor is not needed</w:t>
      </w:r>
    </w:p>
    <w:p w14:paraId="0F782275">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For ATG UE antenna type Case 4, L1/L3 measurement sharing factor is needed</w:t>
      </w:r>
    </w:p>
    <w:p w14:paraId="11D23D80">
      <w:pPr>
        <w:pStyle w:val="150"/>
        <w:numPr>
          <w:ilvl w:val="0"/>
          <w:numId w:val="0"/>
        </w:numPr>
        <w:overflowPunct/>
        <w:autoSpaceDE/>
        <w:autoSpaceDN/>
        <w:adjustRightInd/>
        <w:spacing w:after="120"/>
        <w:textAlignment w:val="auto"/>
        <w:rPr>
          <w:rFonts w:hint="eastAsia" w:eastAsia="宋体"/>
          <w:color w:val="0070C0"/>
          <w:szCs w:val="24"/>
          <w:lang w:val="en-US" w:eastAsia="zh-CN"/>
        </w:rPr>
      </w:pPr>
      <w:r>
        <w:rPr>
          <w:rFonts w:hint="eastAsia" w:eastAsia="宋体"/>
          <w:color w:val="0070C0"/>
          <w:szCs w:val="24"/>
          <w:lang w:val="en-US" w:eastAsia="zh-CN"/>
        </w:rPr>
        <w:t>CATT: agree with Recommended WF, no L1 measurement on deactivated Scell, so no needed for UE except Case4, but for Case 4, UE also need to measure the L1 from PCell.</w:t>
      </w:r>
    </w:p>
    <w:p w14:paraId="0606F13D">
      <w:pPr>
        <w:pStyle w:val="150"/>
        <w:numPr>
          <w:ilvl w:val="0"/>
          <w:numId w:val="0"/>
        </w:numPr>
        <w:overflowPunct/>
        <w:autoSpaceDE/>
        <w:autoSpaceDN/>
        <w:adjustRightInd/>
        <w:spacing w:after="120"/>
        <w:textAlignment w:val="auto"/>
        <w:rPr>
          <w:rFonts w:hint="eastAsia" w:eastAsia="宋体"/>
          <w:color w:val="0070C0"/>
          <w:szCs w:val="24"/>
          <w:lang w:val="en-US" w:eastAsia="zh-CN"/>
        </w:rPr>
      </w:pPr>
      <w:r>
        <w:rPr>
          <w:rFonts w:hint="eastAsia" w:eastAsia="宋体"/>
          <w:color w:val="0070C0"/>
          <w:szCs w:val="24"/>
          <w:lang w:val="en-US" w:eastAsia="zh-CN"/>
        </w:rPr>
        <w:t>E///: Support Recommended WF</w:t>
      </w:r>
    </w:p>
    <w:p w14:paraId="4ABCB971">
      <w:pPr>
        <w:pStyle w:val="150"/>
        <w:numPr>
          <w:ilvl w:val="0"/>
          <w:numId w:val="0"/>
        </w:numPr>
        <w:overflowPunct/>
        <w:autoSpaceDE/>
        <w:autoSpaceDN/>
        <w:adjustRightInd/>
        <w:spacing w:after="120"/>
        <w:textAlignment w:val="auto"/>
        <w:rPr>
          <w:rFonts w:hint="eastAsia" w:eastAsia="宋体"/>
          <w:color w:val="0070C0"/>
          <w:szCs w:val="24"/>
          <w:lang w:val="en-US" w:eastAsia="zh-CN"/>
        </w:rPr>
      </w:pPr>
      <w:r>
        <w:rPr>
          <w:rFonts w:hint="eastAsia" w:eastAsia="宋体"/>
          <w:color w:val="0070C0"/>
          <w:szCs w:val="24"/>
          <w:lang w:val="en-US" w:eastAsia="zh-CN"/>
        </w:rPr>
        <w:t>ZTE: For Case 4, will deactivated SCell measurement be impacted by co-located pCELL L1 measurement</w:t>
      </w:r>
    </w:p>
    <w:p w14:paraId="336A7FF3">
      <w:pPr>
        <w:pStyle w:val="150"/>
        <w:numPr>
          <w:ilvl w:val="0"/>
          <w:numId w:val="0"/>
        </w:numPr>
        <w:overflowPunct/>
        <w:autoSpaceDE/>
        <w:autoSpaceDN/>
        <w:adjustRightInd/>
        <w:spacing w:after="120"/>
        <w:textAlignment w:val="auto"/>
        <w:rPr>
          <w:rFonts w:hint="default" w:eastAsia="宋体"/>
          <w:color w:val="0070C0"/>
          <w:szCs w:val="24"/>
          <w:lang w:val="en-US" w:eastAsia="zh-CN"/>
        </w:rPr>
      </w:pPr>
      <w:r>
        <w:rPr>
          <w:rFonts w:hint="eastAsia" w:eastAsia="宋体"/>
          <w:color w:val="0070C0"/>
          <w:szCs w:val="24"/>
          <w:lang w:val="en-US" w:eastAsia="zh-CN"/>
        </w:rPr>
        <w:t>CMCC: deactivated SCell measurement also have neighbour cell measurement. Use measCycleScell to measure the neighbour.</w:t>
      </w:r>
    </w:p>
    <w:p w14:paraId="6AE3B728">
      <w:pPr>
        <w:pStyle w:val="150"/>
        <w:numPr>
          <w:ilvl w:val="0"/>
          <w:numId w:val="0"/>
        </w:numPr>
        <w:overflowPunct/>
        <w:autoSpaceDE/>
        <w:autoSpaceDN/>
        <w:adjustRightInd/>
        <w:spacing w:after="120"/>
        <w:textAlignment w:val="auto"/>
        <w:rPr>
          <w:rFonts w:hint="eastAsia" w:eastAsia="宋体"/>
          <w:color w:val="0070C0"/>
          <w:szCs w:val="24"/>
          <w:lang w:val="en-US" w:eastAsia="zh-CN"/>
        </w:rPr>
      </w:pPr>
      <w:r>
        <w:rPr>
          <w:rFonts w:hint="eastAsia" w:eastAsia="宋体"/>
          <w:color w:val="0070C0"/>
          <w:szCs w:val="24"/>
          <w:lang w:val="en-US" w:eastAsia="zh-CN"/>
        </w:rPr>
        <w:t>HW: e.g., when measure the neighbour cell on deactivated serving SCell MO.</w:t>
      </w:r>
    </w:p>
    <w:p w14:paraId="202B7BDF">
      <w:pPr>
        <w:pStyle w:val="150"/>
        <w:numPr>
          <w:ilvl w:val="0"/>
          <w:numId w:val="0"/>
        </w:numPr>
        <w:overflowPunct/>
        <w:autoSpaceDE/>
        <w:autoSpaceDN/>
        <w:adjustRightInd/>
        <w:spacing w:after="120"/>
        <w:textAlignment w:val="auto"/>
        <w:rPr>
          <w:rFonts w:hint="default" w:eastAsia="宋体"/>
          <w:color w:val="0070C0"/>
          <w:szCs w:val="24"/>
          <w:lang w:val="en-US" w:eastAsia="zh-CN"/>
        </w:rPr>
      </w:pPr>
      <w:r>
        <w:rPr>
          <w:rFonts w:hint="eastAsia" w:eastAsia="宋体"/>
          <w:color w:val="0070C0"/>
          <w:szCs w:val="24"/>
          <w:lang w:val="en-US" w:eastAsia="zh-CN"/>
        </w:rPr>
        <w:t>ZTE: FFS the Case#4</w:t>
      </w:r>
    </w:p>
    <w:p w14:paraId="2585E1F2">
      <w:pPr>
        <w:pStyle w:val="150"/>
        <w:numPr>
          <w:ilvl w:val="0"/>
          <w:numId w:val="0"/>
        </w:numPr>
        <w:overflowPunct/>
        <w:autoSpaceDE/>
        <w:autoSpaceDN/>
        <w:adjustRightInd/>
        <w:spacing w:after="120"/>
        <w:textAlignment w:val="auto"/>
        <w:rPr>
          <w:rFonts w:hint="eastAsia" w:eastAsia="宋体"/>
          <w:color w:val="0070C0"/>
          <w:szCs w:val="24"/>
          <w:lang w:val="en-US" w:eastAsia="zh-CN"/>
        </w:rPr>
      </w:pPr>
    </w:p>
    <w:p w14:paraId="658C2845">
      <w:pPr>
        <w:pStyle w:val="150"/>
        <w:numPr>
          <w:ilvl w:val="0"/>
          <w:numId w:val="0"/>
        </w:numPr>
        <w:overflowPunct/>
        <w:autoSpaceDE/>
        <w:autoSpaceDN/>
        <w:adjustRightInd/>
        <w:spacing w:after="120"/>
        <w:textAlignment w:val="auto"/>
        <w:rPr>
          <w:rFonts w:hint="eastAsia" w:eastAsia="宋体"/>
          <w:color w:val="0070C0"/>
          <w:szCs w:val="24"/>
          <w:highlight w:val="green"/>
          <w:lang w:val="en-US" w:eastAsia="zh-CN"/>
        </w:rPr>
      </w:pPr>
      <w:r>
        <w:rPr>
          <w:rFonts w:hint="eastAsia" w:eastAsia="宋体"/>
          <w:color w:val="0070C0"/>
          <w:szCs w:val="24"/>
          <w:highlight w:val="green"/>
          <w:lang w:val="en-US" w:eastAsia="zh-CN"/>
        </w:rPr>
        <w:t>Agreement:</w:t>
      </w:r>
    </w:p>
    <w:p w14:paraId="28650B4A">
      <w:pPr>
        <w:pStyle w:val="150"/>
        <w:numPr>
          <w:ilvl w:val="1"/>
          <w:numId w:val="3"/>
        </w:numPr>
        <w:overflowPunct/>
        <w:autoSpaceDE/>
        <w:autoSpaceDN/>
        <w:adjustRightInd/>
        <w:spacing w:after="120"/>
        <w:ind w:left="1440" w:firstLineChars="0"/>
        <w:textAlignment w:val="auto"/>
        <w:rPr>
          <w:rFonts w:eastAsia="宋体"/>
          <w:color w:val="0070C0"/>
          <w:szCs w:val="24"/>
          <w:highlight w:val="green"/>
          <w:lang w:val="en-US" w:eastAsia="zh-CN"/>
        </w:rPr>
      </w:pPr>
      <w:r>
        <w:rPr>
          <w:rFonts w:hint="eastAsia" w:eastAsia="宋体"/>
          <w:color w:val="0070C0"/>
          <w:szCs w:val="24"/>
          <w:highlight w:val="green"/>
          <w:lang w:val="en-US" w:eastAsia="zh-CN"/>
        </w:rPr>
        <w:t>For ATG UE antenna types except Case 4, L1/L3 measurement sharing factor is not needed</w:t>
      </w:r>
    </w:p>
    <w:p w14:paraId="4D33A880">
      <w:pPr>
        <w:pStyle w:val="150"/>
        <w:numPr>
          <w:ilvl w:val="1"/>
          <w:numId w:val="3"/>
        </w:numPr>
        <w:overflowPunct/>
        <w:autoSpaceDE/>
        <w:autoSpaceDN/>
        <w:adjustRightInd/>
        <w:spacing w:after="120"/>
        <w:ind w:left="1440" w:firstLineChars="0"/>
        <w:textAlignment w:val="auto"/>
        <w:rPr>
          <w:rFonts w:eastAsia="宋体"/>
          <w:color w:val="0070C0"/>
          <w:szCs w:val="24"/>
          <w:highlight w:val="green"/>
          <w:lang w:val="en-US" w:eastAsia="zh-CN"/>
        </w:rPr>
      </w:pPr>
      <w:r>
        <w:rPr>
          <w:rFonts w:hint="eastAsia" w:eastAsia="宋体"/>
          <w:color w:val="0070C0"/>
          <w:szCs w:val="24"/>
          <w:highlight w:val="green"/>
          <w:lang w:val="en-US" w:eastAsia="zh-CN"/>
        </w:rPr>
        <w:t>FFS: For ATG UE antenna type Case 4, L1/L3 measurement sharing factor is needed</w:t>
      </w:r>
    </w:p>
    <w:p w14:paraId="785AFCD9">
      <w:pPr>
        <w:pStyle w:val="150"/>
        <w:numPr>
          <w:ilvl w:val="0"/>
          <w:numId w:val="0"/>
        </w:numPr>
        <w:overflowPunct/>
        <w:autoSpaceDE/>
        <w:autoSpaceDN/>
        <w:adjustRightInd/>
        <w:spacing w:after="120"/>
        <w:textAlignment w:val="auto"/>
        <w:rPr>
          <w:rFonts w:hint="default" w:eastAsia="宋体"/>
          <w:color w:val="0070C0"/>
          <w:szCs w:val="24"/>
          <w:lang w:val="en-US" w:eastAsia="zh-CN"/>
        </w:rPr>
      </w:pPr>
    </w:p>
    <w:p w14:paraId="11514B55">
      <w:pPr>
        <w:spacing w:after="120"/>
        <w:rPr>
          <w:color w:val="0070C0"/>
          <w:szCs w:val="24"/>
          <w:lang w:eastAsia="zh-CN"/>
        </w:rPr>
      </w:pPr>
    </w:p>
    <w:p w14:paraId="5EA438E4">
      <w:pPr>
        <w:rPr>
          <w:b/>
          <w:color w:val="0070C0"/>
          <w:u w:val="single"/>
          <w:lang w:val="en-US" w:eastAsia="zh-CN"/>
        </w:rPr>
      </w:pPr>
      <w:r>
        <w:rPr>
          <w:b/>
          <w:color w:val="0070C0"/>
          <w:u w:val="single"/>
          <w:lang w:eastAsia="ko-KR"/>
        </w:rPr>
        <w:t>Issue 1-</w:t>
      </w:r>
      <w:r>
        <w:rPr>
          <w:rFonts w:hint="eastAsia"/>
          <w:b/>
          <w:color w:val="0070C0"/>
          <w:u w:val="single"/>
          <w:lang w:val="en-US" w:eastAsia="zh-CN"/>
        </w:rPr>
        <w:t>4-6</w:t>
      </w:r>
      <w:r>
        <w:rPr>
          <w:b/>
          <w:color w:val="0070C0"/>
          <w:u w:val="single"/>
          <w:lang w:eastAsia="ko-KR"/>
        </w:rPr>
        <w:t xml:space="preserve">: </w:t>
      </w:r>
      <w:r>
        <w:rPr>
          <w:rFonts w:hint="eastAsia"/>
          <w:b/>
          <w:color w:val="0070C0"/>
          <w:u w:val="single"/>
          <w:lang w:val="en-US" w:eastAsia="zh-CN"/>
        </w:rPr>
        <w:t>Scheduling Availability/Restrictions of ATG UE with the antenna array performing measurements on FR1</w:t>
      </w:r>
    </w:p>
    <w:p w14:paraId="2C63A32B">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1108875E">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For scheduling availability of UE with the antenna array performing measurements on FR1 for intra/inter-frequency measurement without MG and CSI-RS based intra-frequency measurements: (CMCC, ZTE, CATT)</w:t>
      </w:r>
    </w:p>
    <w:p w14:paraId="78BEB1DE">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14:paraId="2457B471">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When inter-band carrier aggregation is performed:</w:t>
      </w:r>
    </w:p>
    <w:p w14:paraId="48BAF06C">
      <w:pPr>
        <w:pStyle w:val="150"/>
        <w:numPr>
          <w:ilvl w:val="3"/>
          <w:numId w:val="3"/>
        </w:numPr>
        <w:overflowPunct/>
        <w:autoSpaceDE/>
        <w:autoSpaceDN/>
        <w:adjustRightInd/>
        <w:spacing w:after="120"/>
        <w:ind w:left="2280" w:firstLineChars="0"/>
        <w:textAlignment w:val="auto"/>
        <w:rPr>
          <w:rFonts w:eastAsia="宋体"/>
          <w:strike/>
          <w:dstrike w:val="0"/>
          <w:color w:val="0070C0"/>
          <w:szCs w:val="24"/>
          <w:lang w:val="en-US" w:eastAsia="zh-CN"/>
        </w:rPr>
      </w:pPr>
      <w:r>
        <w:rPr>
          <w:rFonts w:hint="eastAsia" w:eastAsia="宋体"/>
          <w:strike/>
          <w:dstrike w:val="0"/>
          <w:color w:val="0070C0"/>
          <w:szCs w:val="24"/>
          <w:lang w:val="en-US" w:eastAsia="zh-CN"/>
        </w:rPr>
        <w:t>For ATG UE antenna type Case  2, 3 and 5, the scheduling restrictions due to PCell will not apply to another serving cell in a different band.</w:t>
      </w:r>
    </w:p>
    <w:p w14:paraId="2481F1AA">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For ATG UE capable of [antenna array capability] on either PCC or SCC, and support [new UE capability of Case 4]</w:t>
      </w:r>
      <w:r>
        <w:rPr>
          <w:rFonts w:hint="eastAsia" w:eastAsia="宋体"/>
          <w:strike/>
          <w:dstrike w:val="0"/>
          <w:color w:val="0070C0"/>
          <w:szCs w:val="24"/>
          <w:lang w:val="en-US" w:eastAsia="zh-CN"/>
        </w:rPr>
        <w:t>antenna type Case 4, i.e., ATG UE with the antenna array on both PCC and SCC, and only one Rx beam can be formed,</w:t>
      </w:r>
      <w:r>
        <w:rPr>
          <w:rFonts w:hint="eastAsia" w:eastAsia="宋体"/>
          <w:color w:val="0070C0"/>
          <w:szCs w:val="24"/>
          <w:lang w:val="en-US" w:eastAsia="zh-CN"/>
        </w:rPr>
        <w:t xml:space="preserve"> the scheduling restrictions due to a given serving cell should also apply to another serving cell in a different band on the symbols that fully or partially overlap with the aforementioned restricted symbols.</w:t>
      </w:r>
    </w:p>
    <w:p w14:paraId="54DD9D9C">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For ATG UE capable of [antenna array capability] on either PCC or SCC, [but don</w:t>
      </w:r>
      <w:r>
        <w:rPr>
          <w:rFonts w:hint="default" w:eastAsia="宋体"/>
          <w:color w:val="0070C0"/>
          <w:szCs w:val="24"/>
          <w:lang w:val="en-US" w:eastAsia="zh-CN"/>
        </w:rPr>
        <w:t>’</w:t>
      </w:r>
      <w:r>
        <w:rPr>
          <w:rFonts w:hint="eastAsia" w:eastAsia="宋体"/>
          <w:color w:val="0070C0"/>
          <w:szCs w:val="24"/>
          <w:lang w:val="en-US" w:eastAsia="zh-CN"/>
        </w:rPr>
        <w:t>t support [new UE capability of Case 4]], the scheduling restrictions due to PCell will not apply to another serving cell in a different band.</w:t>
      </w:r>
    </w:p>
    <w:p w14:paraId="182B56F1">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676E5225">
      <w:pPr>
        <w:pStyle w:val="150"/>
        <w:numPr>
          <w:ilvl w:val="1"/>
          <w:numId w:val="3"/>
        </w:numPr>
        <w:overflowPunct/>
        <w:autoSpaceDE/>
        <w:autoSpaceDN/>
        <w:adjustRightInd/>
        <w:spacing w:after="120"/>
        <w:ind w:left="1440" w:firstLineChars="0"/>
        <w:textAlignment w:val="auto"/>
        <w:rPr>
          <w:rFonts w:eastAsia="宋体"/>
          <w:color w:val="0070C0"/>
          <w:szCs w:val="24"/>
          <w:lang w:val="en-US" w:eastAsia="ko-KR"/>
        </w:rPr>
      </w:pPr>
      <w:r>
        <w:rPr>
          <w:rFonts w:hint="eastAsia" w:eastAsia="宋体"/>
          <w:color w:val="0070C0"/>
          <w:szCs w:val="24"/>
          <w:lang w:val="en-US" w:eastAsia="zh-CN"/>
        </w:rPr>
        <w:t>Check whether the principle of Proposal 1 can be agreed, the specific wording can be refined in CR</w:t>
      </w:r>
    </w:p>
    <w:p w14:paraId="3010A727">
      <w:pPr>
        <w:pStyle w:val="150"/>
        <w:overflowPunct/>
        <w:autoSpaceDE/>
        <w:autoSpaceDN/>
        <w:adjustRightInd/>
        <w:spacing w:after="120"/>
        <w:ind w:firstLine="0" w:firstLineChars="0"/>
        <w:textAlignment w:val="auto"/>
        <w:rPr>
          <w:rFonts w:hint="eastAsia" w:eastAsia="宋体"/>
          <w:color w:val="0070C0"/>
          <w:szCs w:val="24"/>
          <w:lang w:val="en-US" w:eastAsia="zh-CN"/>
        </w:rPr>
      </w:pPr>
    </w:p>
    <w:p w14:paraId="30B7347F">
      <w:pPr>
        <w:pStyle w:val="150"/>
        <w:overflowPunct/>
        <w:autoSpaceDE/>
        <w:autoSpaceDN/>
        <w:adjustRightInd/>
        <w:spacing w:after="120"/>
        <w:ind w:firstLine="0" w:firstLineChars="0"/>
        <w:textAlignment w:val="auto"/>
        <w:rPr>
          <w:rFonts w:hint="eastAsia" w:eastAsia="宋体"/>
          <w:color w:val="0070C0"/>
          <w:szCs w:val="24"/>
          <w:highlight w:val="yellow"/>
          <w:lang w:val="en-US" w:eastAsia="zh-CN"/>
        </w:rPr>
      </w:pPr>
      <w:r>
        <w:rPr>
          <w:rFonts w:hint="eastAsia" w:eastAsia="宋体"/>
          <w:color w:val="0070C0"/>
          <w:szCs w:val="24"/>
          <w:highlight w:val="yellow"/>
          <w:lang w:val="en-US" w:eastAsia="zh-CN"/>
        </w:rPr>
        <w:t>Tentative agreement:</w:t>
      </w:r>
    </w:p>
    <w:p w14:paraId="61172F21">
      <w:pPr>
        <w:pStyle w:val="150"/>
        <w:overflowPunct/>
        <w:autoSpaceDE/>
        <w:autoSpaceDN/>
        <w:adjustRightInd/>
        <w:spacing w:after="120"/>
        <w:ind w:firstLine="0" w:firstLineChars="0"/>
        <w:textAlignment w:val="auto"/>
        <w:rPr>
          <w:rFonts w:hint="eastAsia" w:eastAsia="宋体"/>
          <w:color w:val="0070C0"/>
          <w:szCs w:val="24"/>
          <w:highlight w:val="yellow"/>
          <w:lang w:val="en-US" w:eastAsia="zh-CN"/>
        </w:rPr>
      </w:pPr>
      <w:r>
        <w:rPr>
          <w:rFonts w:hint="eastAsia" w:eastAsia="宋体"/>
          <w:color w:val="0070C0"/>
          <w:szCs w:val="24"/>
          <w:highlight w:val="yellow"/>
          <w:lang w:val="en-US" w:eastAsia="zh-CN"/>
        </w:rPr>
        <w:t>Principle of Proposal 1 can be agreed, the specific wording can be refined in CR</w:t>
      </w:r>
    </w:p>
    <w:p w14:paraId="3FBC2376">
      <w:pPr>
        <w:pStyle w:val="150"/>
        <w:overflowPunct/>
        <w:autoSpaceDE/>
        <w:autoSpaceDN/>
        <w:adjustRightInd/>
        <w:spacing w:after="120"/>
        <w:ind w:firstLine="0" w:firstLineChars="0"/>
        <w:textAlignment w:val="auto"/>
        <w:rPr>
          <w:rFonts w:hint="default" w:eastAsia="宋体"/>
          <w:color w:val="0070C0"/>
          <w:szCs w:val="24"/>
          <w:lang w:val="en-US" w:eastAsia="zh-CN"/>
        </w:rPr>
      </w:pPr>
    </w:p>
    <w:p w14:paraId="5948D675">
      <w:pPr>
        <w:rPr>
          <w:b/>
          <w:color w:val="0070C0"/>
          <w:u w:val="single"/>
          <w:lang w:val="en-US" w:eastAsia="zh-CN"/>
        </w:rPr>
      </w:pPr>
      <w:r>
        <w:rPr>
          <w:b/>
          <w:color w:val="0070C0"/>
          <w:u w:val="single"/>
          <w:lang w:eastAsia="ko-KR"/>
        </w:rPr>
        <w:t>Issue 1-</w:t>
      </w:r>
      <w:r>
        <w:rPr>
          <w:rFonts w:hint="eastAsia"/>
          <w:b/>
          <w:color w:val="0070C0"/>
          <w:u w:val="single"/>
          <w:lang w:val="en-US" w:eastAsia="zh-CN"/>
        </w:rPr>
        <w:t>4-7</w:t>
      </w:r>
      <w:r>
        <w:rPr>
          <w:b/>
          <w:color w:val="0070C0"/>
          <w:u w:val="single"/>
          <w:lang w:eastAsia="ko-KR"/>
        </w:rPr>
        <w:t xml:space="preserve">: </w:t>
      </w:r>
      <w:r>
        <w:rPr>
          <w:rFonts w:hint="eastAsia"/>
          <w:b/>
          <w:color w:val="0070C0"/>
          <w:u w:val="single"/>
          <w:lang w:val="en-US" w:eastAsia="zh-CN"/>
        </w:rPr>
        <w:t>Scheduling Availability/Restrictions of ATG UE performing measurement with a different subcarrier spacing than PDSCH/PDCCH on FR1</w:t>
      </w:r>
    </w:p>
    <w:p w14:paraId="28A38CB8">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3B3B2ED4">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(CMCC, CATT(except for Case#4))</w:t>
      </w:r>
    </w:p>
    <w:p w14:paraId="510DBFA8">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For scheduling availability of UE performing measurement with a different subcarrier spacing than PDSCH/PDCCH for RLM, BFD, CBD, intra/inter-frequency measurement without MG, L1-RSRP measurement, and L1-SINR measurement</w:t>
      </w:r>
    </w:p>
    <w:p w14:paraId="19660717">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087DAD64">
      <w:pPr>
        <w:pStyle w:val="150"/>
        <w:numPr>
          <w:ilvl w:val="3"/>
          <w:numId w:val="3"/>
        </w:numPr>
        <w:overflowPunct/>
        <w:autoSpaceDE/>
        <w:autoSpaceDN/>
        <w:adjustRightInd/>
        <w:spacing w:after="120"/>
        <w:ind w:left="2280" w:firstLineChars="0"/>
        <w:textAlignment w:val="auto"/>
        <w:rPr>
          <w:b/>
          <w:color w:val="0070C0"/>
          <w:u w:val="single"/>
          <w:lang w:val="en-US" w:eastAsia="ko-KR"/>
        </w:rPr>
      </w:pPr>
      <w:r>
        <w:rPr>
          <w:rFonts w:hint="eastAsia" w:eastAsia="宋体"/>
          <w:color w:val="0070C0"/>
          <w:szCs w:val="24"/>
          <w:lang w:val="en-US" w:eastAsia="zh-CN"/>
        </w:rPr>
        <w:t>When inter-band carrier aggregation within FR1 is configured, there are no scheduling restrictions on FR1 serving cell(s) configured in other bands than the bands in which PCell is configured.</w:t>
      </w:r>
    </w:p>
    <w:p w14:paraId="4CC42C12">
      <w:pPr>
        <w:pStyle w:val="150"/>
        <w:numPr>
          <w:ilvl w:val="1"/>
          <w:numId w:val="3"/>
        </w:numPr>
        <w:overflowPunct/>
        <w:autoSpaceDE/>
        <w:autoSpaceDN/>
        <w:adjustRightInd/>
        <w:spacing w:after="120"/>
        <w:ind w:left="1440" w:firstLineChars="0"/>
        <w:textAlignment w:val="auto"/>
        <w:rPr>
          <w:b/>
          <w:color w:val="0070C0"/>
          <w:u w:val="single"/>
          <w:lang w:val="en-US" w:eastAsia="ko-KR"/>
        </w:rPr>
      </w:pPr>
      <w:r>
        <w:rPr>
          <w:rFonts w:hint="eastAsia" w:eastAsia="宋体"/>
          <w:color w:val="0070C0"/>
          <w:szCs w:val="24"/>
          <w:lang w:val="en-US" w:eastAsia="zh-CN"/>
        </w:rPr>
        <w:t>Proposal 2: (Ericsson)</w:t>
      </w:r>
    </w:p>
    <w:p w14:paraId="71EE6625">
      <w:pPr>
        <w:pStyle w:val="150"/>
        <w:numPr>
          <w:ilvl w:val="2"/>
          <w:numId w:val="3"/>
        </w:numPr>
        <w:overflowPunct/>
        <w:autoSpaceDE/>
        <w:autoSpaceDN/>
        <w:adjustRightInd/>
        <w:spacing w:after="120"/>
        <w:ind w:left="1860" w:firstLineChars="0"/>
        <w:textAlignment w:val="auto"/>
        <w:rPr>
          <w:rFonts w:eastAsia="宋体"/>
          <w:color w:val="0070C0"/>
          <w:szCs w:val="24"/>
          <w:lang w:val="en-US" w:eastAsia="ko-KR"/>
        </w:rPr>
      </w:pPr>
      <w:r>
        <w:rPr>
          <w:rFonts w:hint="eastAsia" w:eastAsia="宋体"/>
          <w:color w:val="0070C0"/>
          <w:szCs w:val="24"/>
          <w:lang w:val="en-US" w:eastAsia="zh-CN"/>
        </w:rPr>
        <w:t>For scheduling availability of UE performing measurement with a different subcarrier spacing than PDSCH/PDCCH for BFD, intra/inter-frequency measurement without MG, L1-RSRP measurement, and L1-SINR measurement.</w:t>
      </w:r>
    </w:p>
    <w:p w14:paraId="1F66C309">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When intra-band carrier aggregation in FR1 is configured, the scheduling restrictions on FR1 serving PCell should apply to all serving cells in the same band on the symbols that fully or partially overlap with restricted symbols.</w:t>
      </w:r>
    </w:p>
    <w:p w14:paraId="493A84DE">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When inter-band carrier aggregation in FR1 is configured,</w:t>
      </w:r>
    </w:p>
    <w:p w14:paraId="36B69B45">
      <w:pPr>
        <w:pStyle w:val="150"/>
        <w:numPr>
          <w:ilvl w:val="4"/>
          <w:numId w:val="3"/>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For ATG UE with omnidirectional antennas on the bands of PCC and SCC, there are no scheduling restrictions on FR1 SCell configured in other bands than the bands in which PCell is configured.</w:t>
      </w:r>
    </w:p>
    <w:p w14:paraId="60426741">
      <w:pPr>
        <w:pStyle w:val="150"/>
        <w:numPr>
          <w:ilvl w:val="4"/>
          <w:numId w:val="3"/>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For ATG UE with the antenna array on PCell and omni-directional antenna on SCell, there are no scheduling restrictions on FR1 SCell configured in other bands than the bands in which PCell is configured.</w:t>
      </w:r>
    </w:p>
    <w:p w14:paraId="7A11A7C1">
      <w:pPr>
        <w:pStyle w:val="150"/>
        <w:numPr>
          <w:ilvl w:val="4"/>
          <w:numId w:val="3"/>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For ATG UE with the omni-directional antenna on PCC and antenna array on SCC, there are no scheduling restrictions on FR1 SCell configured in other bands than the bands in which PCell is configured.</w:t>
      </w:r>
    </w:p>
    <w:p w14:paraId="55CFEF7F">
      <w:pPr>
        <w:pStyle w:val="150"/>
        <w:numPr>
          <w:ilvl w:val="4"/>
          <w:numId w:val="3"/>
        </w:numPr>
        <w:overflowPunct/>
        <w:autoSpaceDE/>
        <w:autoSpaceDN/>
        <w:adjustRightInd/>
        <w:spacing w:after="120"/>
        <w:ind w:left="2700" w:firstLineChars="0"/>
        <w:textAlignment w:val="auto"/>
        <w:rPr>
          <w:rFonts w:eastAsia="宋体"/>
          <w:color w:val="0070C0"/>
          <w:szCs w:val="24"/>
          <w:lang w:val="en-US" w:eastAsia="zh-CN"/>
        </w:rPr>
      </w:pPr>
      <w:r>
        <w:rPr>
          <w:rFonts w:hint="eastAsia" w:eastAsia="宋体"/>
          <w:color w:val="0070C0"/>
          <w:szCs w:val="24"/>
          <w:lang w:val="en-US" w:eastAsia="zh-CN"/>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3F8492D1">
      <w:pPr>
        <w:pStyle w:val="150"/>
        <w:numPr>
          <w:ilvl w:val="4"/>
          <w:numId w:val="3"/>
        </w:numPr>
        <w:overflowPunct/>
        <w:autoSpaceDE/>
        <w:autoSpaceDN/>
        <w:adjustRightInd/>
        <w:spacing w:after="120"/>
        <w:ind w:left="2700" w:firstLineChars="0"/>
        <w:textAlignment w:val="auto"/>
        <w:rPr>
          <w:rFonts w:eastAsia="宋体"/>
          <w:color w:val="0070C0"/>
          <w:szCs w:val="24"/>
          <w:lang w:val="en-US" w:eastAsia="ko-KR"/>
        </w:rPr>
      </w:pPr>
      <w:r>
        <w:rPr>
          <w:rFonts w:hint="eastAsia" w:eastAsia="宋体"/>
          <w:color w:val="0070C0"/>
          <w:szCs w:val="24"/>
          <w:lang w:val="en-US" w:eastAsia="zh-CN"/>
        </w:rPr>
        <w:t>For ATG UE with the antenna array on both PCC and SCC, and two Rx beams can be formed simultaneously, there are no scheduling restrictions on FR1 SCell configured in other bands than the bands in which PCell is configured.</w:t>
      </w:r>
    </w:p>
    <w:p w14:paraId="0E736130">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93C35C5">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For ATG UE antenna types except Case 4</w:t>
      </w:r>
    </w:p>
    <w:p w14:paraId="2585DF3B">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For scheduling availability of UE performing measurement with a different subcarrier spacing than PDSCH/PDCCH for RLM, BFD, CBD, intra/inter-frequency measurement without MG, L1-RSRP measurement, and L1-SINR measurement</w:t>
      </w:r>
    </w:p>
    <w:p w14:paraId="6ABF0A95">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0BDCB66A">
      <w:pPr>
        <w:pStyle w:val="150"/>
        <w:numPr>
          <w:ilvl w:val="3"/>
          <w:numId w:val="3"/>
        </w:numPr>
        <w:overflowPunct/>
        <w:autoSpaceDE/>
        <w:autoSpaceDN/>
        <w:adjustRightInd/>
        <w:spacing w:after="120"/>
        <w:ind w:left="2280" w:firstLineChars="0"/>
        <w:textAlignment w:val="auto"/>
        <w:rPr>
          <w:b/>
          <w:color w:val="0070C0"/>
          <w:u w:val="single"/>
          <w:lang w:val="en-US" w:eastAsia="ko-KR"/>
        </w:rPr>
      </w:pPr>
      <w:r>
        <w:rPr>
          <w:rFonts w:hint="eastAsia" w:eastAsia="宋体"/>
          <w:color w:val="0070C0"/>
          <w:szCs w:val="24"/>
          <w:lang w:val="en-US" w:eastAsia="zh-CN"/>
        </w:rPr>
        <w:t>When inter-band carrier aggregation within FR1 is configured, there are no scheduling restrictions on FR1 serving cell(s) configured in other bands than the bands in which PCell is configured.</w:t>
      </w:r>
    </w:p>
    <w:p w14:paraId="21CBD105">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 for ATG Case#4 UE</w:t>
      </w:r>
    </w:p>
    <w:p w14:paraId="296D47AC">
      <w:pPr>
        <w:rPr>
          <w:rFonts w:hint="eastAsia"/>
          <w:b/>
          <w:color w:val="0070C0"/>
          <w:u w:val="single"/>
          <w:lang w:val="en-US" w:eastAsia="zh-CN"/>
        </w:rPr>
      </w:pPr>
    </w:p>
    <w:p w14:paraId="32061CE5">
      <w:pPr>
        <w:rPr>
          <w:rFonts w:hint="eastAsia"/>
          <w:b/>
          <w:color w:val="0070C0"/>
          <w:highlight w:val="yellow"/>
          <w:u w:val="single"/>
          <w:lang w:val="en-US" w:eastAsia="zh-CN"/>
        </w:rPr>
      </w:pPr>
      <w:r>
        <w:rPr>
          <w:rFonts w:hint="eastAsia"/>
          <w:b/>
          <w:color w:val="0070C0"/>
          <w:highlight w:val="yellow"/>
          <w:u w:val="single"/>
          <w:lang w:val="en-US" w:eastAsia="zh-CN"/>
        </w:rPr>
        <w:t>Tentative agreement:</w:t>
      </w:r>
    </w:p>
    <w:p w14:paraId="01FB7849">
      <w:pPr>
        <w:pStyle w:val="150"/>
        <w:numPr>
          <w:ilvl w:val="0"/>
          <w:numId w:val="3"/>
        </w:numPr>
        <w:overflowPunct/>
        <w:autoSpaceDE/>
        <w:autoSpaceDN/>
        <w:adjustRightInd/>
        <w:spacing w:after="120"/>
        <w:ind w:left="1020" w:leftChars="0" w:firstLineChars="0"/>
        <w:textAlignment w:val="auto"/>
        <w:rPr>
          <w:rFonts w:eastAsia="宋体"/>
          <w:color w:val="0070C0"/>
          <w:szCs w:val="24"/>
          <w:highlight w:val="yellow"/>
          <w:lang w:eastAsia="zh-CN"/>
        </w:rPr>
      </w:pPr>
      <w:r>
        <w:rPr>
          <w:rFonts w:hint="eastAsia" w:eastAsia="宋体"/>
          <w:color w:val="0070C0"/>
          <w:szCs w:val="24"/>
          <w:highlight w:val="yellow"/>
          <w:lang w:val="en-US" w:eastAsia="zh-CN"/>
        </w:rPr>
        <w:t>For ATG UE antenna types except Case 4</w:t>
      </w:r>
    </w:p>
    <w:p w14:paraId="10CAB477">
      <w:pPr>
        <w:pStyle w:val="150"/>
        <w:numPr>
          <w:ilvl w:val="1"/>
          <w:numId w:val="3"/>
        </w:numPr>
        <w:overflowPunct/>
        <w:autoSpaceDE/>
        <w:autoSpaceDN/>
        <w:adjustRightInd/>
        <w:spacing w:after="120"/>
        <w:ind w:left="1440" w:leftChars="0" w:firstLineChars="0"/>
        <w:textAlignment w:val="auto"/>
        <w:rPr>
          <w:rFonts w:eastAsia="宋体"/>
          <w:color w:val="0070C0"/>
          <w:szCs w:val="24"/>
          <w:highlight w:val="yellow"/>
          <w:lang w:val="en-US" w:eastAsia="zh-CN"/>
        </w:rPr>
      </w:pPr>
      <w:r>
        <w:rPr>
          <w:rFonts w:hint="eastAsia" w:eastAsia="宋体"/>
          <w:color w:val="0070C0"/>
          <w:szCs w:val="24"/>
          <w:highlight w:val="yellow"/>
          <w:lang w:val="en-US" w:eastAsia="zh-CN"/>
        </w:rPr>
        <w:t>For scheduling availability of UE performing measurement with a different subcarrier spacing than PDSCH/PDCCH for RLM, BFD, CBD, intra/inter-frequency measurement without MG, L1-RSRP measurement, and L1-SINR measurement</w:t>
      </w:r>
    </w:p>
    <w:p w14:paraId="485E390D">
      <w:pPr>
        <w:pStyle w:val="150"/>
        <w:numPr>
          <w:ilvl w:val="2"/>
          <w:numId w:val="3"/>
        </w:numPr>
        <w:overflowPunct/>
        <w:autoSpaceDE/>
        <w:autoSpaceDN/>
        <w:adjustRightInd/>
        <w:spacing w:after="120"/>
        <w:ind w:left="1860" w:leftChars="0" w:firstLineChars="0"/>
        <w:textAlignment w:val="auto"/>
        <w:rPr>
          <w:rFonts w:eastAsia="宋体"/>
          <w:color w:val="0070C0"/>
          <w:szCs w:val="24"/>
          <w:highlight w:val="yellow"/>
          <w:lang w:val="en-US" w:eastAsia="zh-CN"/>
        </w:rPr>
      </w:pPr>
      <w:r>
        <w:rPr>
          <w:rFonts w:hint="eastAsia" w:eastAsia="宋体"/>
          <w:color w:val="0070C0"/>
          <w:szCs w:val="24"/>
          <w:highlight w:val="yellow"/>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40CFA4ED">
      <w:pPr>
        <w:pStyle w:val="150"/>
        <w:numPr>
          <w:ilvl w:val="2"/>
          <w:numId w:val="3"/>
        </w:numPr>
        <w:overflowPunct/>
        <w:autoSpaceDE/>
        <w:autoSpaceDN/>
        <w:adjustRightInd/>
        <w:spacing w:after="120"/>
        <w:ind w:left="1860" w:leftChars="0" w:firstLineChars="0"/>
        <w:textAlignment w:val="auto"/>
        <w:rPr>
          <w:b/>
          <w:color w:val="0070C0"/>
          <w:highlight w:val="yellow"/>
          <w:u w:val="single"/>
          <w:lang w:val="en-US" w:eastAsia="ko-KR"/>
        </w:rPr>
      </w:pPr>
      <w:r>
        <w:rPr>
          <w:rFonts w:hint="eastAsia" w:eastAsia="宋体"/>
          <w:color w:val="0070C0"/>
          <w:szCs w:val="24"/>
          <w:highlight w:val="yellow"/>
          <w:lang w:val="en-US" w:eastAsia="zh-CN"/>
        </w:rPr>
        <w:t>When inter-band carrier aggregation within FR1 is configured, there are no scheduling restrictions on FR1 serving cell(s) configured in other bands than the bands in which PCell is configured.</w:t>
      </w:r>
    </w:p>
    <w:p w14:paraId="698AEBEA">
      <w:pPr>
        <w:pStyle w:val="150"/>
        <w:numPr>
          <w:ilvl w:val="0"/>
          <w:numId w:val="3"/>
        </w:numPr>
        <w:overflowPunct/>
        <w:autoSpaceDE/>
        <w:autoSpaceDN/>
        <w:adjustRightInd/>
        <w:spacing w:after="120"/>
        <w:ind w:left="1020" w:leftChars="0" w:firstLineChars="0"/>
        <w:textAlignment w:val="auto"/>
        <w:rPr>
          <w:rFonts w:eastAsia="宋体"/>
          <w:color w:val="0070C0"/>
          <w:szCs w:val="24"/>
          <w:highlight w:val="yellow"/>
          <w:lang w:eastAsia="zh-CN"/>
        </w:rPr>
      </w:pPr>
      <w:r>
        <w:rPr>
          <w:rFonts w:hint="eastAsia" w:eastAsia="宋体"/>
          <w:color w:val="0070C0"/>
          <w:szCs w:val="24"/>
          <w:highlight w:val="yellow"/>
          <w:lang w:val="en-US" w:eastAsia="zh-CN"/>
        </w:rPr>
        <w:t>FFS for ATG Case#4 UE</w:t>
      </w:r>
    </w:p>
    <w:p w14:paraId="4554DB98">
      <w:pPr>
        <w:rPr>
          <w:rFonts w:hint="default"/>
          <w:b/>
          <w:color w:val="0070C0"/>
          <w:u w:val="single"/>
          <w:lang w:val="en-US" w:eastAsia="zh-CN"/>
        </w:rPr>
      </w:pPr>
    </w:p>
    <w:p w14:paraId="5F6BF5DB">
      <w:pPr>
        <w:rPr>
          <w:b/>
          <w:color w:val="0070C0"/>
          <w:u w:val="single"/>
          <w:lang w:val="en-US" w:eastAsia="zh-CN"/>
        </w:rPr>
      </w:pPr>
      <w:r>
        <w:rPr>
          <w:rFonts w:hint="eastAsia"/>
          <w:b/>
          <w:color w:val="0070C0"/>
          <w:u w:val="single"/>
          <w:lang w:val="en-US" w:eastAsia="zh-CN"/>
        </w:rPr>
        <w:t>Issue 1-3-1-3: Is there any impact from UE antenna types for interruption requirements</w:t>
      </w:r>
    </w:p>
    <w:p w14:paraId="53560408">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5C7F7FA8">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1: </w:t>
      </w:r>
      <w:r>
        <w:rPr>
          <w:rFonts w:hint="eastAsia" w:eastAsia="宋体"/>
          <w:color w:val="0070C0"/>
          <w:szCs w:val="24"/>
          <w:lang w:eastAsia="zh-CN"/>
        </w:rPr>
        <w:t>Reuse the current interruption requirements, no impact from UE antenna types</w:t>
      </w:r>
      <w:r>
        <w:rPr>
          <w:rFonts w:hint="eastAsia" w:eastAsia="宋体"/>
          <w:color w:val="0070C0"/>
          <w:szCs w:val="24"/>
          <w:lang w:val="en-US" w:eastAsia="zh-CN"/>
        </w:rPr>
        <w:t>. (CMCC)</w:t>
      </w:r>
    </w:p>
    <w:p w14:paraId="6DEDEB40">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(Ericsson)</w:t>
      </w:r>
    </w:p>
    <w:p w14:paraId="72565D7E">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RAN4 should discuss and capture FR1 antenna array impact on the following Interruptions requirements.</w:t>
      </w:r>
    </w:p>
    <w:p w14:paraId="50885AB6">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at SCell addition/release</w:t>
      </w:r>
    </w:p>
    <w:p w14:paraId="3C38CBB7">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 xml:space="preserve">Interruptions at SCell activation/deactivation </w:t>
      </w:r>
    </w:p>
    <w:p w14:paraId="283E7874">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at direct SCell activation</w:t>
      </w:r>
    </w:p>
    <w:p w14:paraId="7CE48CD9">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at fast SCell activation</w:t>
      </w:r>
    </w:p>
    <w:p w14:paraId="746D01A1">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during measurements on deactivated SCC</w:t>
      </w:r>
    </w:p>
    <w:p w14:paraId="15B09CC2">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due to SCell dormancy</w:t>
      </w:r>
    </w:p>
    <w:p w14:paraId="5CA05BF0">
      <w:pPr>
        <w:pStyle w:val="150"/>
        <w:numPr>
          <w:ilvl w:val="3"/>
          <w:numId w:val="3"/>
        </w:numPr>
        <w:overflowPunct/>
        <w:autoSpaceDE/>
        <w:autoSpaceDN/>
        <w:adjustRightInd/>
        <w:spacing w:after="120"/>
        <w:ind w:left="2280" w:firstLineChars="0"/>
        <w:textAlignment w:val="auto"/>
        <w:rPr>
          <w:rFonts w:eastAsia="宋体"/>
          <w:color w:val="0070C0"/>
          <w:szCs w:val="24"/>
          <w:lang w:val="en-US" w:eastAsia="zh-CN"/>
        </w:rPr>
      </w:pPr>
      <w:r>
        <w:rPr>
          <w:rFonts w:hint="eastAsia" w:eastAsia="宋体"/>
          <w:color w:val="0070C0"/>
          <w:szCs w:val="24"/>
          <w:lang w:val="en-US" w:eastAsia="zh-CN"/>
        </w:rPr>
        <w:t>Interruptions due to UE-specific CBW change</w:t>
      </w:r>
    </w:p>
    <w:p w14:paraId="4F53C5AE">
      <w:pPr>
        <w:pStyle w:val="150"/>
        <w:numPr>
          <w:ilvl w:val="3"/>
          <w:numId w:val="3"/>
        </w:numPr>
        <w:overflowPunct/>
        <w:autoSpaceDE/>
        <w:autoSpaceDN/>
        <w:adjustRightInd/>
        <w:spacing w:after="120"/>
        <w:ind w:left="2280" w:firstLineChars="0"/>
        <w:textAlignment w:val="auto"/>
        <w:rPr>
          <w:rFonts w:eastAsia="宋体"/>
          <w:color w:val="0070C0"/>
          <w:szCs w:val="24"/>
          <w:lang w:eastAsia="zh-CN"/>
        </w:rPr>
      </w:pPr>
      <w:r>
        <w:rPr>
          <w:rFonts w:hint="eastAsia" w:eastAsia="宋体"/>
          <w:color w:val="0070C0"/>
          <w:szCs w:val="24"/>
          <w:lang w:val="en-US" w:eastAsia="zh-CN"/>
        </w:rPr>
        <w:t xml:space="preserve">Interruptions due to Active BWP switching Requirement </w:t>
      </w:r>
    </w:p>
    <w:p w14:paraId="5E129DE5">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526AF172">
      <w:pPr>
        <w:pStyle w:val="150"/>
        <w:numPr>
          <w:ilvl w:val="1"/>
          <w:numId w:val="3"/>
        </w:numPr>
        <w:overflowPunct/>
        <w:autoSpaceDE/>
        <w:autoSpaceDN/>
        <w:adjustRightInd/>
        <w:spacing w:after="120"/>
        <w:ind w:left="1440" w:firstLineChars="0"/>
        <w:textAlignment w:val="auto"/>
        <w:rPr>
          <w:color w:val="0070C0"/>
          <w:lang w:val="en-US" w:eastAsia="zh-CN"/>
        </w:rPr>
      </w:pPr>
      <w:r>
        <w:rPr>
          <w:rFonts w:hint="eastAsia"/>
          <w:color w:val="0070C0"/>
          <w:lang w:val="en-US" w:eastAsia="zh-CN"/>
        </w:rPr>
        <w:t xml:space="preserve">Recommend the proponents of Proposal 2 to provide more details about antenna array impact </w:t>
      </w:r>
    </w:p>
    <w:p w14:paraId="346C7A6B">
      <w:pPr>
        <w:rPr>
          <w:rFonts w:hint="eastAsia"/>
          <w:b/>
          <w:color w:val="0070C0"/>
          <w:highlight w:val="yellow"/>
          <w:u w:val="single"/>
          <w:lang w:val="en-US" w:eastAsia="zh-CN"/>
        </w:rPr>
      </w:pPr>
    </w:p>
    <w:p w14:paraId="579ED703">
      <w:pPr>
        <w:rPr>
          <w:rFonts w:hint="eastAsia"/>
          <w:b/>
          <w:color w:val="0070C0"/>
          <w:highlight w:val="yellow"/>
          <w:u w:val="single"/>
          <w:lang w:val="en-US" w:eastAsia="zh-CN"/>
        </w:rPr>
      </w:pPr>
      <w:r>
        <w:rPr>
          <w:rFonts w:hint="eastAsia"/>
          <w:b/>
          <w:color w:val="0070C0"/>
          <w:highlight w:val="yellow"/>
          <w:u w:val="single"/>
          <w:lang w:val="en-US" w:eastAsia="zh-CN"/>
        </w:rPr>
        <w:t>Tentative agreement:</w:t>
      </w:r>
    </w:p>
    <w:p w14:paraId="21A4210E">
      <w:pPr>
        <w:rPr>
          <w:rFonts w:hint="eastAsia" w:eastAsia="宋体"/>
          <w:color w:val="0070C0"/>
          <w:szCs w:val="24"/>
          <w:highlight w:val="yellow"/>
          <w:lang w:val="en-US" w:eastAsia="zh-CN"/>
        </w:rPr>
      </w:pPr>
      <w:r>
        <w:rPr>
          <w:rFonts w:hint="eastAsia" w:eastAsia="宋体"/>
          <w:color w:val="0070C0"/>
          <w:szCs w:val="24"/>
          <w:highlight w:val="yellow"/>
          <w:lang w:eastAsia="zh-CN"/>
        </w:rPr>
        <w:t>Reuse the current interruption requirements, no impact from UE antenna types</w:t>
      </w:r>
      <w:r>
        <w:rPr>
          <w:rFonts w:hint="eastAsia" w:eastAsia="宋体"/>
          <w:color w:val="0070C0"/>
          <w:szCs w:val="24"/>
          <w:highlight w:val="yellow"/>
          <w:lang w:val="en-US" w:eastAsia="zh-CN"/>
        </w:rPr>
        <w:t>.</w:t>
      </w:r>
    </w:p>
    <w:p w14:paraId="23E60C38">
      <w:pPr>
        <w:rPr>
          <w:rFonts w:hint="default" w:eastAsia="宋体"/>
          <w:color w:val="0070C0"/>
          <w:szCs w:val="24"/>
          <w:highlight w:val="yellow"/>
          <w:lang w:val="en-US" w:eastAsia="zh-CN"/>
        </w:rPr>
      </w:pPr>
      <w:r>
        <w:rPr>
          <w:rFonts w:hint="eastAsia"/>
          <w:color w:val="0070C0"/>
          <w:szCs w:val="24"/>
          <w:highlight w:val="yellow"/>
          <w:lang w:val="en-US" w:eastAsia="zh-CN"/>
        </w:rPr>
        <w:t>If any technical issues identified, can be further discussed.</w:t>
      </w:r>
    </w:p>
    <w:p w14:paraId="2BF4F5FA">
      <w:pPr>
        <w:pStyle w:val="150"/>
        <w:overflowPunct/>
        <w:autoSpaceDE/>
        <w:autoSpaceDN/>
        <w:adjustRightInd/>
        <w:spacing w:after="120"/>
        <w:ind w:firstLine="284" w:firstLineChars="0"/>
        <w:textAlignment w:val="auto"/>
        <w:rPr>
          <w:color w:val="0070C0"/>
          <w:lang w:val="en-US" w:eastAsia="zh-CN"/>
        </w:rPr>
      </w:pPr>
    </w:p>
    <w:p w14:paraId="1E857DB4">
      <w:pPr>
        <w:rPr>
          <w:b/>
          <w:color w:val="0070C0"/>
          <w:u w:val="single"/>
          <w:lang w:val="en-US" w:eastAsia="zh-CN"/>
        </w:rPr>
      </w:pPr>
      <w:r>
        <w:rPr>
          <w:rFonts w:hint="eastAsia"/>
          <w:b/>
          <w:color w:val="0070C0"/>
          <w:u w:val="single"/>
          <w:lang w:val="en-US" w:eastAsia="zh-CN"/>
        </w:rPr>
        <w:t>Issue 1-3-1-5: Applicable bands of Interruption requirements</w:t>
      </w:r>
    </w:p>
    <w:p w14:paraId="4DE695F0">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7183AC88">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1: </w:t>
      </w:r>
      <w:r>
        <w:rPr>
          <w:rFonts w:hint="eastAsia" w:eastAsia="宋体"/>
          <w:color w:val="0070C0"/>
          <w:szCs w:val="24"/>
          <w:lang w:val="en-US" w:eastAsia="zh-CN"/>
        </w:rPr>
        <w:t>The interruption requirements defined are applicable to the bands: n3, n39, and n79. If new bands have been introduced the interruption requirements need to be redefined. (HW)</w:t>
      </w:r>
    </w:p>
    <w:p w14:paraId="6D2F90B1">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D6B6CF3">
      <w:pPr>
        <w:pStyle w:val="150"/>
        <w:numPr>
          <w:ilvl w:val="1"/>
          <w:numId w:val="3"/>
        </w:numPr>
        <w:overflowPunct/>
        <w:autoSpaceDE/>
        <w:autoSpaceDN/>
        <w:adjustRightInd/>
        <w:spacing w:after="120"/>
        <w:ind w:left="1440" w:firstLineChars="0"/>
        <w:textAlignment w:val="auto"/>
        <w:rPr>
          <w:color w:val="0070C0"/>
          <w:lang w:val="en-US" w:eastAsia="zh-CN"/>
        </w:rPr>
      </w:pPr>
      <w:r>
        <w:rPr>
          <w:rFonts w:hint="eastAsia"/>
          <w:color w:val="0070C0"/>
          <w:lang w:val="en-US" w:eastAsia="zh-CN"/>
        </w:rPr>
        <w:t>To be discussed</w:t>
      </w:r>
    </w:p>
    <w:p w14:paraId="2AAA64FD">
      <w:pPr>
        <w:rPr>
          <w:rFonts w:hint="eastAsia"/>
          <w:b/>
          <w:color w:val="0070C0"/>
          <w:highlight w:val="yellow"/>
          <w:u w:val="single"/>
          <w:lang w:val="en-US" w:eastAsia="zh-CN"/>
        </w:rPr>
      </w:pPr>
      <w:r>
        <w:rPr>
          <w:rFonts w:hint="eastAsia"/>
          <w:b/>
          <w:color w:val="0070C0"/>
          <w:highlight w:val="yellow"/>
          <w:u w:val="single"/>
          <w:lang w:val="en-US" w:eastAsia="zh-CN"/>
        </w:rPr>
        <w:t>Tentative agreement:</w:t>
      </w:r>
    </w:p>
    <w:p w14:paraId="38438192">
      <w:pPr>
        <w:rPr>
          <w:rFonts w:hint="default"/>
          <w:b w:val="0"/>
          <w:bCs/>
          <w:color w:val="0070C0"/>
          <w:highlight w:val="yellow"/>
          <w:u w:val="none"/>
          <w:lang w:val="en-US" w:eastAsia="zh-CN"/>
        </w:rPr>
      </w:pPr>
      <w:r>
        <w:rPr>
          <w:rFonts w:hint="eastAsia"/>
          <w:b w:val="0"/>
          <w:bCs/>
          <w:color w:val="0070C0"/>
          <w:highlight w:val="yellow"/>
          <w:u w:val="none"/>
          <w:lang w:val="en-US" w:eastAsia="zh-CN"/>
        </w:rPr>
        <w:t>The issue is closed</w:t>
      </w:r>
    </w:p>
    <w:p w14:paraId="2FA3F7B9">
      <w:pPr>
        <w:rPr>
          <w:rFonts w:hint="eastAsia"/>
          <w:b/>
          <w:color w:val="0070C0"/>
          <w:u w:val="single"/>
          <w:lang w:val="en-US" w:eastAsia="zh-CN"/>
        </w:rPr>
      </w:pPr>
    </w:p>
    <w:p w14:paraId="308CD65E">
      <w:pPr>
        <w:rPr>
          <w:b/>
          <w:color w:val="0070C0"/>
          <w:u w:val="single"/>
          <w:lang w:val="en-US" w:eastAsia="zh-CN"/>
        </w:rPr>
      </w:pPr>
      <w:r>
        <w:rPr>
          <w:rFonts w:hint="eastAsia"/>
          <w:b/>
          <w:color w:val="0070C0"/>
          <w:u w:val="single"/>
          <w:lang w:val="en-US" w:eastAsia="zh-CN"/>
        </w:rPr>
        <w:t xml:space="preserve">Issue 1-1-2: </w:t>
      </w:r>
      <w:r>
        <w:rPr>
          <w:b/>
          <w:color w:val="0070C0"/>
          <w:u w:val="single"/>
          <w:lang w:val="en-US" w:eastAsia="zh-CN"/>
        </w:rPr>
        <w:t>UE Antenna Type</w:t>
      </w:r>
      <w:r>
        <w:rPr>
          <w:rFonts w:hint="eastAsia"/>
          <w:b/>
          <w:color w:val="0070C0"/>
          <w:u w:val="single"/>
          <w:lang w:val="en-US" w:eastAsia="zh-CN"/>
        </w:rPr>
        <w:t xml:space="preserve"> signaling</w:t>
      </w:r>
    </w:p>
    <w:p w14:paraId="2581C973">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2E39801D">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r>
        <w:rPr>
          <w:rFonts w:eastAsia="宋体"/>
          <w:color w:val="0070C0"/>
          <w:szCs w:val="24"/>
          <w:lang w:val="en-US" w:eastAsia="zh-CN"/>
        </w:rPr>
        <w:t>1</w:t>
      </w:r>
      <w:r>
        <w:rPr>
          <w:rFonts w:hint="eastAsia" w:eastAsia="宋体"/>
          <w:color w:val="0070C0"/>
          <w:szCs w:val="24"/>
          <w:lang w:val="en-US" w:eastAsia="zh-CN"/>
        </w:rPr>
        <w:t>: If ATG UE can perform measurements on different serving cells using different types of antennas, it is necessary to provide assistance information to the network regarding which antenna panel combination is used on the UE side. (LGE)</w:t>
      </w:r>
    </w:p>
    <w:p w14:paraId="27CFEB40">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RAN4 should wait for the RF session’s decision on Case 4 and send LS to RAN2 to define the capability to differentiate Case 4, and Case 5. (Ericsson, CMCC)</w:t>
      </w:r>
    </w:p>
    <w:p w14:paraId="1C7B5831">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3: To differentiate Case 4 and Case 5, an additional UE capability to indicate common or separate Rx beam is needed with per BC type for the bands in which UE supporting phase antenna array.  (ZTE)</w:t>
      </w:r>
    </w:p>
    <w:p w14:paraId="0A0B5A76">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2D9BB16E">
      <w:pPr>
        <w:pStyle w:val="150"/>
        <w:numPr>
          <w:ilvl w:val="1"/>
          <w:numId w:val="3"/>
        </w:numPr>
        <w:overflowPunct/>
        <w:autoSpaceDE/>
        <w:autoSpaceDN/>
        <w:adjustRightInd/>
        <w:spacing w:after="120"/>
        <w:ind w:left="1440" w:firstLineChars="0"/>
        <w:textAlignment w:val="auto"/>
        <w:rPr>
          <w:b/>
          <w:color w:val="0070C0"/>
          <w:u w:val="single"/>
          <w:lang w:eastAsia="ko-KR"/>
        </w:rPr>
      </w:pPr>
      <w:r>
        <w:rPr>
          <w:rFonts w:hint="eastAsia" w:eastAsia="宋体"/>
          <w:color w:val="0070C0"/>
          <w:szCs w:val="24"/>
          <w:lang w:val="en-US" w:eastAsia="zh-CN"/>
        </w:rPr>
        <w:t>Further discuss how to define the UE capability to indicate common or separate Rx beam (i.e., Case#4 or Case#5).</w:t>
      </w:r>
    </w:p>
    <w:p w14:paraId="4DFB05F2">
      <w:pPr>
        <w:rPr>
          <w:rFonts w:hint="eastAsia"/>
          <w:b/>
          <w:bCs/>
          <w:color w:val="0070C0"/>
          <w:highlight w:val="yellow"/>
          <w:u w:val="single"/>
          <w:lang w:val="en-US" w:eastAsia="zh-CN"/>
        </w:rPr>
      </w:pPr>
      <w:r>
        <w:rPr>
          <w:rFonts w:hint="eastAsia"/>
          <w:b/>
          <w:bCs/>
          <w:color w:val="0070C0"/>
          <w:highlight w:val="yellow"/>
          <w:u w:val="single"/>
          <w:lang w:val="en-US" w:eastAsia="zh-CN"/>
        </w:rPr>
        <w:t>Tentative agreement:</w:t>
      </w:r>
    </w:p>
    <w:p w14:paraId="462A2EB3">
      <w:pPr>
        <w:rPr>
          <w:rFonts w:hint="eastAsia" w:eastAsia="宋体"/>
          <w:color w:val="0070C0"/>
          <w:szCs w:val="24"/>
          <w:highlight w:val="yellow"/>
          <w:lang w:val="en-US" w:eastAsia="zh-CN"/>
        </w:rPr>
      </w:pPr>
      <w:r>
        <w:rPr>
          <w:rFonts w:hint="eastAsia" w:eastAsia="宋体"/>
          <w:color w:val="0070C0"/>
          <w:szCs w:val="24"/>
          <w:highlight w:val="yellow"/>
          <w:lang w:val="en-US" w:eastAsia="zh-CN"/>
        </w:rPr>
        <w:t>To differentiate Case 4 and Case 5, an additional UE capability to indicate common or separate Rx beam is needed</w:t>
      </w:r>
    </w:p>
    <w:p w14:paraId="7A6475A6">
      <w:pPr>
        <w:rPr>
          <w:rFonts w:hint="default" w:eastAsia="宋体"/>
          <w:color w:val="0070C0"/>
          <w:szCs w:val="24"/>
          <w:highlight w:val="yellow"/>
          <w:lang w:val="en-US" w:eastAsia="zh-CN"/>
        </w:rPr>
      </w:pPr>
      <w:r>
        <w:rPr>
          <w:rFonts w:hint="eastAsia"/>
          <w:color w:val="0070C0"/>
          <w:szCs w:val="24"/>
          <w:highlight w:val="yellow"/>
          <w:lang w:val="en-US" w:eastAsia="zh-CN"/>
        </w:rPr>
        <w:t>FFS for the details</w:t>
      </w:r>
      <w:bookmarkStart w:id="0" w:name="_GoBack"/>
      <w:bookmarkEnd w:id="0"/>
      <w:r>
        <w:rPr>
          <w:rFonts w:hint="eastAsia"/>
          <w:color w:val="0070C0"/>
          <w:szCs w:val="24"/>
          <w:highlight w:val="yellow"/>
          <w:lang w:val="en-US" w:eastAsia="zh-CN"/>
        </w:rPr>
        <w:t>.</w:t>
      </w:r>
    </w:p>
    <w:p w14:paraId="551382FE">
      <w:pPr>
        <w:rPr>
          <w:color w:val="0070C0"/>
          <w:lang w:val="en-US" w:eastAsia="zh-CN"/>
        </w:rPr>
      </w:pPr>
    </w:p>
    <w:p w14:paraId="5EFDCD4A">
      <w:pPr>
        <w:rPr>
          <w:b/>
          <w:color w:val="0070C0"/>
          <w:u w:val="single"/>
          <w:lang w:val="en-US" w:eastAsia="zh-CN"/>
        </w:rPr>
      </w:pPr>
      <w:r>
        <w:rPr>
          <w:b/>
          <w:color w:val="0070C0"/>
          <w:u w:val="single"/>
          <w:lang w:eastAsia="ko-KR"/>
        </w:rPr>
        <w:t>Issue 1-</w:t>
      </w:r>
      <w:r>
        <w:rPr>
          <w:rFonts w:hint="eastAsia"/>
          <w:b/>
          <w:color w:val="0070C0"/>
          <w:u w:val="single"/>
          <w:lang w:val="en-US" w:eastAsia="zh-CN"/>
        </w:rPr>
        <w:t>3-3</w:t>
      </w:r>
      <w:r>
        <w:rPr>
          <w:b/>
          <w:color w:val="0070C0"/>
          <w:u w:val="single"/>
          <w:lang w:eastAsia="ko-KR"/>
        </w:rPr>
        <w:t xml:space="preserve">: </w:t>
      </w:r>
      <w:r>
        <w:rPr>
          <w:rFonts w:hint="eastAsia"/>
          <w:b/>
          <w:color w:val="0070C0"/>
          <w:u w:val="single"/>
          <w:lang w:eastAsia="ko-KR"/>
        </w:rPr>
        <w:t xml:space="preserve">SCell </w:t>
      </w:r>
      <w:r>
        <w:rPr>
          <w:rFonts w:hint="eastAsia"/>
          <w:b/>
          <w:color w:val="0070C0"/>
          <w:u w:val="single"/>
          <w:lang w:val="en-US" w:eastAsia="zh-CN"/>
        </w:rPr>
        <w:t>Addition/</w:t>
      </w:r>
      <w:r>
        <w:rPr>
          <w:rFonts w:hint="eastAsia"/>
          <w:b/>
          <w:color w:val="0070C0"/>
          <w:u w:val="single"/>
          <w:lang w:eastAsia="ko-KR"/>
        </w:rPr>
        <w:t xml:space="preserve">Activation </w:t>
      </w:r>
      <w:r>
        <w:rPr>
          <w:rFonts w:hint="eastAsia"/>
          <w:b/>
          <w:color w:val="0070C0"/>
          <w:u w:val="single"/>
          <w:lang w:val="en-US" w:eastAsia="zh-CN"/>
        </w:rPr>
        <w:t>mechanism</w:t>
      </w:r>
    </w:p>
    <w:p w14:paraId="750F6FC1">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hint="eastAsia" w:eastAsia="宋体"/>
          <w:b/>
          <w:bCs/>
          <w:color w:val="0070C0"/>
          <w:szCs w:val="24"/>
          <w:lang w:val="en-US" w:eastAsia="zh-CN"/>
        </w:rPr>
        <w:t>Proposals</w:t>
      </w:r>
    </w:p>
    <w:p w14:paraId="111AD406">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val="en-US" w:eastAsia="zh-CN"/>
        </w:rPr>
        <w:t xml:space="preserve">Proposal </w:t>
      </w:r>
      <w:r>
        <w:rPr>
          <w:rFonts w:hint="eastAsia" w:eastAsia="宋体"/>
          <w:color w:val="0070C0"/>
          <w:szCs w:val="24"/>
          <w:lang w:val="en-US" w:eastAsia="zh-CN"/>
        </w:rPr>
        <w:t>1</w:t>
      </w:r>
      <w:r>
        <w:rPr>
          <w:rFonts w:eastAsia="宋体"/>
          <w:color w:val="0070C0"/>
          <w:szCs w:val="24"/>
          <w:lang w:val="en-US" w:eastAsia="zh-CN"/>
        </w:rPr>
        <w:t xml:space="preserve">: </w:t>
      </w:r>
      <w:r>
        <w:rPr>
          <w:rFonts w:hint="eastAsia" w:eastAsia="宋体"/>
          <w:color w:val="0070C0"/>
          <w:szCs w:val="24"/>
          <w:lang w:val="en-US" w:eastAsia="zh-CN"/>
        </w:rPr>
        <w:t>Consider distance triggered SCell addition (CMCC, HW)</w:t>
      </w:r>
    </w:p>
    <w:p w14:paraId="1DF82922">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1-1: To save power and avoid throughput loss caused by measurement for SCell addition and/or activation, introduce distance triggered SCell addition and/or activation, which can be achieved through network configuration of SCell </w:t>
      </w:r>
      <w:r>
        <w:rPr>
          <w:rFonts w:hint="eastAsia" w:eastAsia="宋体"/>
          <w:color w:val="0070C0"/>
          <w:szCs w:val="24"/>
          <w:highlight w:val="none"/>
          <w:lang w:val="en-US" w:eastAsia="zh-CN"/>
        </w:rPr>
        <w:t>addition and/or activation</w:t>
      </w:r>
      <w:r>
        <w:rPr>
          <w:rFonts w:hint="eastAsia" w:eastAsia="宋体"/>
          <w:color w:val="0070C0"/>
          <w:szCs w:val="24"/>
          <w:lang w:val="en-US" w:eastAsia="zh-CN"/>
        </w:rPr>
        <w:t xml:space="preserve"> condition. After the condition is fulfilled at UE side, UE can add and/or active the SCell automatically, and then sent the SCell addition/activation confirmation message to network.(CMCC)</w:t>
      </w:r>
    </w:p>
    <w:p w14:paraId="6D944B13">
      <w:pPr>
        <w:pStyle w:val="150"/>
        <w:numPr>
          <w:ilvl w:val="2"/>
          <w:numId w:val="3"/>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Proposal 1-2: The distance triggered SCell addition and/or activation needs to be discussed with the UE antenna type. (HW)</w:t>
      </w:r>
    </w:p>
    <w:p w14:paraId="12823091">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2: RAN4 should wait for the decision of RF session on case 4 before proceed with the Scell addition/activation mechanism discussion. (Ericsson)</w:t>
      </w:r>
    </w:p>
    <w:p w14:paraId="718CC57C">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3: </w:t>
      </w:r>
      <w:r>
        <w:rPr>
          <w:rFonts w:eastAsia="宋体"/>
          <w:color w:val="0070C0"/>
          <w:szCs w:val="24"/>
          <w:lang w:val="en-US" w:eastAsia="zh-CN"/>
        </w:rPr>
        <w:t>further optimization methods for SCell addition and activation can be considered (CATT)</w:t>
      </w:r>
    </w:p>
    <w:p w14:paraId="7346999A">
      <w:pPr>
        <w:pStyle w:val="150"/>
        <w:numPr>
          <w:ilvl w:val="2"/>
          <w:numId w:val="3"/>
        </w:numPr>
        <w:overflowPunct/>
        <w:autoSpaceDE/>
        <w:autoSpaceDN/>
        <w:adjustRightInd/>
        <w:spacing w:after="120"/>
        <w:ind w:left="1860" w:hanging="360" w:firstLineChars="0"/>
        <w:textAlignment w:val="auto"/>
        <w:rPr>
          <w:rFonts w:eastAsia="宋体"/>
          <w:color w:val="0070C0"/>
          <w:szCs w:val="24"/>
          <w:lang w:val="en-US" w:eastAsia="zh-CN"/>
        </w:rPr>
      </w:pPr>
      <w:r>
        <w:rPr>
          <w:rFonts w:hint="eastAsia" w:eastAsia="宋体"/>
          <w:color w:val="0070C0"/>
          <w:szCs w:val="24"/>
          <w:lang w:val="en-US" w:eastAsia="zh-CN"/>
        </w:rPr>
        <w:t xml:space="preserve">Define the corresponding enhanced requirements with some conditions, where the </w:t>
      </w:r>
      <w:r>
        <w:rPr>
          <w:rFonts w:eastAsia="宋体"/>
          <w:color w:val="0070C0"/>
          <w:szCs w:val="24"/>
          <w:lang w:val="en-US" w:eastAsia="zh-CN"/>
        </w:rPr>
        <w:t>measurements of SCell addition and scheduling restrictions on neighbor cell measurements on candidate SCC can be omitted, and it depends on UE to apply these requirements.</w:t>
      </w:r>
    </w:p>
    <w:p w14:paraId="26293FBF">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7A44FA9E">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To be discussed</w:t>
      </w:r>
    </w:p>
    <w:p w14:paraId="79B952A5">
      <w:pPr>
        <w:rPr>
          <w:rFonts w:hint="eastAsia"/>
          <w:color w:val="0070C0"/>
          <w:lang w:val="en-US" w:eastAsia="zh-CN"/>
        </w:rPr>
      </w:pPr>
      <w:r>
        <w:rPr>
          <w:rFonts w:hint="eastAsia"/>
          <w:color w:val="0070C0"/>
          <w:lang w:val="en-US" w:eastAsia="zh-CN"/>
        </w:rPr>
        <w:t>E///: Distance based for mobility in history, but now discussed for SCell activation. However, SCell activation should be fully decided by network, with considering the traffic and Cell quality. SCell will be activated all the time after UE do the SCell activation using the distance based way.</w:t>
      </w:r>
    </w:p>
    <w:p w14:paraId="0DB1696B">
      <w:pPr>
        <w:rPr>
          <w:rFonts w:hint="default"/>
          <w:color w:val="0070C0"/>
          <w:lang w:val="en-US" w:eastAsia="zh-CN"/>
        </w:rPr>
      </w:pPr>
      <w:r>
        <w:rPr>
          <w:rFonts w:hint="eastAsia"/>
          <w:color w:val="0070C0"/>
          <w:lang w:val="en-US" w:eastAsia="zh-CN"/>
        </w:rPr>
        <w:t>HW: Such approach can only used for Case 4.</w:t>
      </w:r>
    </w:p>
    <w:p w14:paraId="3C8F760A">
      <w:pPr>
        <w:rPr>
          <w:color w:val="0070C0"/>
          <w:lang w:val="en-US" w:eastAsia="zh-CN"/>
        </w:rPr>
      </w:pPr>
    </w:p>
    <w:p w14:paraId="5BEC65C5">
      <w:pPr>
        <w:rPr>
          <w:b/>
          <w:color w:val="0070C0"/>
          <w:u w:val="single"/>
          <w:lang w:val="en-US" w:eastAsia="zh-CN"/>
        </w:rPr>
      </w:pPr>
      <w:r>
        <w:rPr>
          <w:rFonts w:hint="eastAsia"/>
          <w:b/>
          <w:color w:val="0070C0"/>
          <w:u w:val="single"/>
          <w:lang w:val="en-US" w:eastAsia="zh-CN"/>
        </w:rPr>
        <w:t>Issue 1-4-9: Measurement enhancement for ATG UE with antenna array</w:t>
      </w:r>
    </w:p>
    <w:p w14:paraId="28B2A824">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Proposals</w:t>
      </w:r>
    </w:p>
    <w:p w14:paraId="7B6BDC87">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Proposal 1: (CMCC)</w:t>
      </w:r>
    </w:p>
    <w:p w14:paraId="356FB528">
      <w:pPr>
        <w:pStyle w:val="150"/>
        <w:numPr>
          <w:ilvl w:val="3"/>
          <w:numId w:val="3"/>
        </w:numPr>
        <w:overflowPunct/>
        <w:autoSpaceDE/>
        <w:autoSpaceDN/>
        <w:adjustRightInd/>
        <w:spacing w:after="120"/>
        <w:ind w:left="2280" w:firstLineChars="0"/>
        <w:textAlignment w:val="auto"/>
        <w:rPr>
          <w:b/>
          <w:color w:val="0070C0"/>
          <w:u w:val="single"/>
          <w:lang w:val="en-US" w:eastAsia="ko-KR"/>
        </w:rPr>
      </w:pPr>
      <w:r>
        <w:rPr>
          <w:rFonts w:hint="eastAsia" w:eastAsia="宋体"/>
          <w:color w:val="0070C0"/>
          <w:szCs w:val="24"/>
          <w:lang w:val="en-US" w:eastAsia="zh-CN"/>
        </w:rPr>
        <w:t>If network identify neighbour cell measurement on SCC is not needed by deployment or the measurement report from PCell, then network can configure a signal which indicate UE only measure the SCell when performing the intra-frequency measurement. From requirement point of view, the beam sweeping factor N1 and antenna array specific L1/L3 sharing factor is not needed.</w:t>
      </w:r>
    </w:p>
    <w:p w14:paraId="3D981E56">
      <w:pPr>
        <w:pStyle w:val="150"/>
        <w:numPr>
          <w:ilvl w:val="0"/>
          <w:numId w:val="3"/>
        </w:numPr>
        <w:overflowPunct/>
        <w:autoSpaceDE/>
        <w:autoSpaceDN/>
        <w:adjustRightInd/>
        <w:spacing w:after="120"/>
        <w:ind w:left="720" w:firstLineChars="0"/>
        <w:textAlignment w:val="auto"/>
        <w:rPr>
          <w:rFonts w:eastAsia="宋体"/>
          <w:b/>
          <w:bCs/>
          <w:color w:val="0070C0"/>
          <w:szCs w:val="24"/>
          <w:lang w:eastAsia="zh-CN"/>
        </w:rPr>
      </w:pPr>
      <w:r>
        <w:rPr>
          <w:rFonts w:eastAsia="宋体"/>
          <w:b/>
          <w:bCs/>
          <w:color w:val="0070C0"/>
          <w:szCs w:val="24"/>
          <w:lang w:eastAsia="zh-CN"/>
        </w:rPr>
        <w:t>Recommended WF</w:t>
      </w:r>
    </w:p>
    <w:p w14:paraId="57213678">
      <w:pPr>
        <w:pStyle w:val="150"/>
        <w:numPr>
          <w:ilvl w:val="1"/>
          <w:numId w:val="3"/>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To be discussed</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I0MTS2MDM3MTK0tDBV0lEKTi0uzszPAykwrAUAl1EJNywAAAA="/>
  </w:docVars>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30F3"/>
    <w:rsid w:val="00085A0E"/>
    <w:rsid w:val="00087548"/>
    <w:rsid w:val="00093E7E"/>
    <w:rsid w:val="000A1830"/>
    <w:rsid w:val="000A4121"/>
    <w:rsid w:val="000A4AA3"/>
    <w:rsid w:val="000A550E"/>
    <w:rsid w:val="000B0960"/>
    <w:rsid w:val="000B1A55"/>
    <w:rsid w:val="000B20BB"/>
    <w:rsid w:val="000B2EF6"/>
    <w:rsid w:val="000B2FA6"/>
    <w:rsid w:val="000B4AA0"/>
    <w:rsid w:val="000B62A8"/>
    <w:rsid w:val="000C2553"/>
    <w:rsid w:val="000C38C3"/>
    <w:rsid w:val="000C4549"/>
    <w:rsid w:val="000D09FD"/>
    <w:rsid w:val="000D19DE"/>
    <w:rsid w:val="000D44FB"/>
    <w:rsid w:val="000D574B"/>
    <w:rsid w:val="000D6CFC"/>
    <w:rsid w:val="000E537B"/>
    <w:rsid w:val="000E57D0"/>
    <w:rsid w:val="000E7858"/>
    <w:rsid w:val="000F39CA"/>
    <w:rsid w:val="001034E5"/>
    <w:rsid w:val="00107927"/>
    <w:rsid w:val="00110E26"/>
    <w:rsid w:val="00111321"/>
    <w:rsid w:val="001128E7"/>
    <w:rsid w:val="00117BD6"/>
    <w:rsid w:val="001206C2"/>
    <w:rsid w:val="00121978"/>
    <w:rsid w:val="00123422"/>
    <w:rsid w:val="00124B6A"/>
    <w:rsid w:val="00130462"/>
    <w:rsid w:val="00136D4C"/>
    <w:rsid w:val="00142538"/>
    <w:rsid w:val="00142BB9"/>
    <w:rsid w:val="001433CD"/>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16D"/>
    <w:rsid w:val="004A495F"/>
    <w:rsid w:val="004A7544"/>
    <w:rsid w:val="004B6B0F"/>
    <w:rsid w:val="004C54E5"/>
    <w:rsid w:val="004C7DC8"/>
    <w:rsid w:val="004D21B0"/>
    <w:rsid w:val="004D66BB"/>
    <w:rsid w:val="004D737D"/>
    <w:rsid w:val="004E2659"/>
    <w:rsid w:val="004E39EE"/>
    <w:rsid w:val="004E475C"/>
    <w:rsid w:val="004E56E0"/>
    <w:rsid w:val="004E7329"/>
    <w:rsid w:val="004E774B"/>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274"/>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E99"/>
    <w:rsid w:val="006363BD"/>
    <w:rsid w:val="006412DC"/>
    <w:rsid w:val="006418C7"/>
    <w:rsid w:val="00642BC6"/>
    <w:rsid w:val="00644790"/>
    <w:rsid w:val="006501AF"/>
    <w:rsid w:val="00650DDE"/>
    <w:rsid w:val="0065253F"/>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7B39"/>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5A8C"/>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76B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8F7936"/>
    <w:rsid w:val="00902C07"/>
    <w:rsid w:val="00905804"/>
    <w:rsid w:val="009101E2"/>
    <w:rsid w:val="00915D73"/>
    <w:rsid w:val="00916077"/>
    <w:rsid w:val="009170A2"/>
    <w:rsid w:val="009208A6"/>
    <w:rsid w:val="00924514"/>
    <w:rsid w:val="00927316"/>
    <w:rsid w:val="00927B7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30C3"/>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3028"/>
    <w:rsid w:val="00B163F8"/>
    <w:rsid w:val="00B2472D"/>
    <w:rsid w:val="00B24CA0"/>
    <w:rsid w:val="00B2549F"/>
    <w:rsid w:val="00B4108D"/>
    <w:rsid w:val="00B45160"/>
    <w:rsid w:val="00B50AC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FD1"/>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18"/>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68FD"/>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54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775"/>
    <w:rsid w:val="00EC74E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87DC6"/>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19B1928"/>
    <w:rsid w:val="01DB41B8"/>
    <w:rsid w:val="02AF3174"/>
    <w:rsid w:val="03587A87"/>
    <w:rsid w:val="03832B7A"/>
    <w:rsid w:val="038375EC"/>
    <w:rsid w:val="03B0573C"/>
    <w:rsid w:val="044B7570"/>
    <w:rsid w:val="05624F7A"/>
    <w:rsid w:val="06133805"/>
    <w:rsid w:val="06B96F4F"/>
    <w:rsid w:val="06FA6D3D"/>
    <w:rsid w:val="074E4245"/>
    <w:rsid w:val="085E7F2F"/>
    <w:rsid w:val="08AD3699"/>
    <w:rsid w:val="09AC2471"/>
    <w:rsid w:val="0A4A77DC"/>
    <w:rsid w:val="0A94713A"/>
    <w:rsid w:val="0A9F6406"/>
    <w:rsid w:val="0B186F04"/>
    <w:rsid w:val="0BA935EB"/>
    <w:rsid w:val="0C850212"/>
    <w:rsid w:val="0C967818"/>
    <w:rsid w:val="0CA447F2"/>
    <w:rsid w:val="0E233EC8"/>
    <w:rsid w:val="0E402C43"/>
    <w:rsid w:val="0E9006B0"/>
    <w:rsid w:val="0E922575"/>
    <w:rsid w:val="0FEF358A"/>
    <w:rsid w:val="0FF30F6B"/>
    <w:rsid w:val="100174AB"/>
    <w:rsid w:val="10097D7D"/>
    <w:rsid w:val="10537FCE"/>
    <w:rsid w:val="10DB2168"/>
    <w:rsid w:val="10DC7C1E"/>
    <w:rsid w:val="111D6AE7"/>
    <w:rsid w:val="114B63AD"/>
    <w:rsid w:val="1271791F"/>
    <w:rsid w:val="130351FE"/>
    <w:rsid w:val="14204D87"/>
    <w:rsid w:val="1447029B"/>
    <w:rsid w:val="145C72AB"/>
    <w:rsid w:val="14E31512"/>
    <w:rsid w:val="150F669C"/>
    <w:rsid w:val="152625F6"/>
    <w:rsid w:val="1565480E"/>
    <w:rsid w:val="15F53D20"/>
    <w:rsid w:val="16383B80"/>
    <w:rsid w:val="165E2675"/>
    <w:rsid w:val="16CA5CEA"/>
    <w:rsid w:val="17192065"/>
    <w:rsid w:val="187B5F6E"/>
    <w:rsid w:val="18C04157"/>
    <w:rsid w:val="18E253DF"/>
    <w:rsid w:val="19272147"/>
    <w:rsid w:val="1A0205BE"/>
    <w:rsid w:val="1B255C34"/>
    <w:rsid w:val="1BA45824"/>
    <w:rsid w:val="1C305473"/>
    <w:rsid w:val="1D31706E"/>
    <w:rsid w:val="1DF745D5"/>
    <w:rsid w:val="1E2F23E8"/>
    <w:rsid w:val="1E7B0EC0"/>
    <w:rsid w:val="1ED8342C"/>
    <w:rsid w:val="1EE02D7B"/>
    <w:rsid w:val="1F50104A"/>
    <w:rsid w:val="1FA31A49"/>
    <w:rsid w:val="1FD27BC4"/>
    <w:rsid w:val="1FF34D8B"/>
    <w:rsid w:val="20F4648F"/>
    <w:rsid w:val="21CB425A"/>
    <w:rsid w:val="224C71F7"/>
    <w:rsid w:val="22741317"/>
    <w:rsid w:val="22AD1F88"/>
    <w:rsid w:val="23220863"/>
    <w:rsid w:val="23D7572A"/>
    <w:rsid w:val="242A5DD5"/>
    <w:rsid w:val="25510AD7"/>
    <w:rsid w:val="25644FE8"/>
    <w:rsid w:val="260F17F4"/>
    <w:rsid w:val="26EA3B85"/>
    <w:rsid w:val="28865DE8"/>
    <w:rsid w:val="288F2EFE"/>
    <w:rsid w:val="2AE46EBF"/>
    <w:rsid w:val="2B7263AD"/>
    <w:rsid w:val="2D6476E5"/>
    <w:rsid w:val="2E2C6834"/>
    <w:rsid w:val="2E8E587E"/>
    <w:rsid w:val="2F542C1E"/>
    <w:rsid w:val="2FB15DAE"/>
    <w:rsid w:val="3066600D"/>
    <w:rsid w:val="31EB5BE7"/>
    <w:rsid w:val="32195862"/>
    <w:rsid w:val="325D642B"/>
    <w:rsid w:val="344A1B60"/>
    <w:rsid w:val="346E1E0B"/>
    <w:rsid w:val="351B7F36"/>
    <w:rsid w:val="359A307E"/>
    <w:rsid w:val="3629679B"/>
    <w:rsid w:val="376A29B0"/>
    <w:rsid w:val="378A63D8"/>
    <w:rsid w:val="37950C89"/>
    <w:rsid w:val="37B224B3"/>
    <w:rsid w:val="3A6E0C2C"/>
    <w:rsid w:val="3A7B60FF"/>
    <w:rsid w:val="3C2F4234"/>
    <w:rsid w:val="3C2F635B"/>
    <w:rsid w:val="3C4F036E"/>
    <w:rsid w:val="3D695440"/>
    <w:rsid w:val="3D882245"/>
    <w:rsid w:val="3DB83E79"/>
    <w:rsid w:val="3E0D400A"/>
    <w:rsid w:val="3E134B4A"/>
    <w:rsid w:val="3E4E5853"/>
    <w:rsid w:val="3E7A2E2A"/>
    <w:rsid w:val="3EDF2CB2"/>
    <w:rsid w:val="3F8045B8"/>
    <w:rsid w:val="3F993F17"/>
    <w:rsid w:val="3FDB3D91"/>
    <w:rsid w:val="3FE24C5D"/>
    <w:rsid w:val="40482C85"/>
    <w:rsid w:val="405A7CA1"/>
    <w:rsid w:val="40A520DF"/>
    <w:rsid w:val="41040422"/>
    <w:rsid w:val="415B56A8"/>
    <w:rsid w:val="41840AF3"/>
    <w:rsid w:val="4286778E"/>
    <w:rsid w:val="43074FDD"/>
    <w:rsid w:val="4314146E"/>
    <w:rsid w:val="43CA31E7"/>
    <w:rsid w:val="43D9684F"/>
    <w:rsid w:val="43F752A9"/>
    <w:rsid w:val="44752AFA"/>
    <w:rsid w:val="44965617"/>
    <w:rsid w:val="45096606"/>
    <w:rsid w:val="45A90B67"/>
    <w:rsid w:val="462670C8"/>
    <w:rsid w:val="465B65FA"/>
    <w:rsid w:val="473144AB"/>
    <w:rsid w:val="478047D1"/>
    <w:rsid w:val="47F661A5"/>
    <w:rsid w:val="48D86BCC"/>
    <w:rsid w:val="49A164CD"/>
    <w:rsid w:val="4A5E3A9E"/>
    <w:rsid w:val="4A5E572C"/>
    <w:rsid w:val="4B0642B9"/>
    <w:rsid w:val="4B527752"/>
    <w:rsid w:val="4C027577"/>
    <w:rsid w:val="4C050A34"/>
    <w:rsid w:val="4DFC2F7C"/>
    <w:rsid w:val="4F1B6016"/>
    <w:rsid w:val="4F2F4165"/>
    <w:rsid w:val="4FBE262B"/>
    <w:rsid w:val="506B50C2"/>
    <w:rsid w:val="50A60305"/>
    <w:rsid w:val="50EE4250"/>
    <w:rsid w:val="51C226C2"/>
    <w:rsid w:val="52331D9E"/>
    <w:rsid w:val="534A55E1"/>
    <w:rsid w:val="545C59BA"/>
    <w:rsid w:val="553D09E4"/>
    <w:rsid w:val="5654756A"/>
    <w:rsid w:val="5669446A"/>
    <w:rsid w:val="567D66A3"/>
    <w:rsid w:val="574845EA"/>
    <w:rsid w:val="57D7125C"/>
    <w:rsid w:val="58270DD5"/>
    <w:rsid w:val="58425BDC"/>
    <w:rsid w:val="58AE3BF1"/>
    <w:rsid w:val="59A6316C"/>
    <w:rsid w:val="5A081245"/>
    <w:rsid w:val="5A860FA9"/>
    <w:rsid w:val="5A983E52"/>
    <w:rsid w:val="5AA9184E"/>
    <w:rsid w:val="5C3862D5"/>
    <w:rsid w:val="5F04137C"/>
    <w:rsid w:val="5F0C525B"/>
    <w:rsid w:val="5F1C1554"/>
    <w:rsid w:val="5F3C1AF1"/>
    <w:rsid w:val="5FF941A8"/>
    <w:rsid w:val="60282A5E"/>
    <w:rsid w:val="602F3CED"/>
    <w:rsid w:val="60483BCC"/>
    <w:rsid w:val="604C687B"/>
    <w:rsid w:val="608367C1"/>
    <w:rsid w:val="60971CC0"/>
    <w:rsid w:val="62F513F5"/>
    <w:rsid w:val="634B3941"/>
    <w:rsid w:val="63B50067"/>
    <w:rsid w:val="6439706D"/>
    <w:rsid w:val="645E6BE1"/>
    <w:rsid w:val="66AE573C"/>
    <w:rsid w:val="66ED0C0D"/>
    <w:rsid w:val="688F43D9"/>
    <w:rsid w:val="68F16099"/>
    <w:rsid w:val="6A2836F3"/>
    <w:rsid w:val="6A523116"/>
    <w:rsid w:val="6ACA0628"/>
    <w:rsid w:val="6AE24FE6"/>
    <w:rsid w:val="6B546546"/>
    <w:rsid w:val="6BD620BB"/>
    <w:rsid w:val="6BF905D1"/>
    <w:rsid w:val="6C2C673B"/>
    <w:rsid w:val="6CE17E70"/>
    <w:rsid w:val="6D2E042E"/>
    <w:rsid w:val="6D57575C"/>
    <w:rsid w:val="6D975301"/>
    <w:rsid w:val="6E0B271A"/>
    <w:rsid w:val="6E701553"/>
    <w:rsid w:val="6E8D663F"/>
    <w:rsid w:val="6EC402E8"/>
    <w:rsid w:val="6EE34CB1"/>
    <w:rsid w:val="6F047644"/>
    <w:rsid w:val="703A29CC"/>
    <w:rsid w:val="704508E5"/>
    <w:rsid w:val="707B1974"/>
    <w:rsid w:val="7194178F"/>
    <w:rsid w:val="72A81AFA"/>
    <w:rsid w:val="731A3BDF"/>
    <w:rsid w:val="74185FD6"/>
    <w:rsid w:val="74C81318"/>
    <w:rsid w:val="75205073"/>
    <w:rsid w:val="75821FAC"/>
    <w:rsid w:val="75BB1D4B"/>
    <w:rsid w:val="7737167D"/>
    <w:rsid w:val="77FC57CA"/>
    <w:rsid w:val="78081232"/>
    <w:rsid w:val="7867414C"/>
    <w:rsid w:val="78BF6FA7"/>
    <w:rsid w:val="78FD4162"/>
    <w:rsid w:val="791B6F56"/>
    <w:rsid w:val="798219E8"/>
    <w:rsid w:val="79CE2B07"/>
    <w:rsid w:val="7A3F2E89"/>
    <w:rsid w:val="7A6413DB"/>
    <w:rsid w:val="7B08121D"/>
    <w:rsid w:val="7B4C2E3B"/>
    <w:rsid w:val="7C0B24C3"/>
    <w:rsid w:val="7D2C6F0C"/>
    <w:rsid w:val="7DB361DB"/>
    <w:rsid w:val="7EA473E9"/>
    <w:rsid w:val="7EF830C8"/>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overflowPunct w:val="0"/>
      <w:autoSpaceDE w:val="0"/>
      <w:autoSpaceDN w:val="0"/>
      <w:adjustRightInd w:val="0"/>
      <w:spacing w:after="120"/>
      <w:ind w:left="1701" w:hanging="1701"/>
      <w:textAlignment w:val="baseline"/>
    </w:pPr>
    <w:rPr>
      <w:rFonts w:ascii="Arial" w:hAnsi="Arial" w:eastAsia="Times New Roman"/>
      <w:b/>
      <w:lang w:eastAsia="zh-CN"/>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Char"/>
    <w:link w:val="2"/>
    <w:qFormat/>
    <w:uiPriority w:val="0"/>
    <w:rPr>
      <w:rFonts w:ascii="Arial" w:hAnsi="Arial"/>
      <w:sz w:val="36"/>
      <w:lang w:eastAsia="en-US" w:bidi="ar-SA"/>
    </w:rPr>
  </w:style>
  <w:style w:type="character" w:customStyle="1" w:styleId="108">
    <w:name w:val="页眉 Char"/>
    <w:link w:val="39"/>
    <w:qFormat/>
    <w:uiPriority w:val="0"/>
    <w:rPr>
      <w:rFonts w:ascii="Arial" w:hAnsi="Arial"/>
      <w:b/>
      <w:sz w:val="18"/>
      <w:lang w:val="en-GB" w:bidi="ar-SA"/>
    </w:rPr>
  </w:style>
  <w:style w:type="character" w:customStyle="1" w:styleId="109">
    <w:name w:val="批注文字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批注框文本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Char"/>
    <w:link w:val="28"/>
    <w:qFormat/>
    <w:uiPriority w:val="0"/>
    <w:rPr>
      <w:b/>
      <w:lang w:val="en-GB"/>
    </w:rPr>
  </w:style>
  <w:style w:type="character" w:customStyle="1" w:styleId="123">
    <w:name w:val="标题 3 Char"/>
    <w:link w:val="4"/>
    <w:qFormat/>
    <w:uiPriority w:val="0"/>
    <w:rPr>
      <w:rFonts w:ascii="Arial" w:hAnsi="Arial"/>
      <w:sz w:val="28"/>
      <w:lang w:eastAsia="en-US"/>
    </w:rPr>
  </w:style>
  <w:style w:type="character" w:customStyle="1" w:styleId="124">
    <w:name w:val="正文文本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Char1"/>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Char"/>
    <w:basedOn w:val="52"/>
    <w:link w:val="5"/>
    <w:qFormat/>
    <w:uiPriority w:val="0"/>
    <w:rPr>
      <w:rFonts w:ascii="Arial" w:hAnsi="Arial"/>
      <w:sz w:val="24"/>
      <w:lang w:eastAsia="en-US"/>
    </w:rPr>
  </w:style>
  <w:style w:type="character" w:customStyle="1" w:styleId="137">
    <w:name w:val="标题 5 Char"/>
    <w:basedOn w:val="52"/>
    <w:link w:val="6"/>
    <w:qFormat/>
    <w:uiPriority w:val="0"/>
    <w:rPr>
      <w:rFonts w:ascii="Arial" w:hAnsi="Arial"/>
      <w:sz w:val="22"/>
      <w:lang w:eastAsia="en-US"/>
    </w:rPr>
  </w:style>
  <w:style w:type="character" w:customStyle="1" w:styleId="138">
    <w:name w:val="标题 6 Char"/>
    <w:basedOn w:val="52"/>
    <w:link w:val="7"/>
    <w:qFormat/>
    <w:uiPriority w:val="0"/>
    <w:rPr>
      <w:rFonts w:ascii="Arial" w:hAnsi="Arial"/>
      <w:lang w:eastAsia="en-US"/>
    </w:rPr>
  </w:style>
  <w:style w:type="character" w:customStyle="1" w:styleId="139">
    <w:name w:val="标题 7 Char"/>
    <w:basedOn w:val="52"/>
    <w:link w:val="9"/>
    <w:qFormat/>
    <w:uiPriority w:val="0"/>
    <w:rPr>
      <w:rFonts w:ascii="Arial" w:hAnsi="Arial"/>
      <w:lang w:eastAsia="en-US"/>
    </w:rPr>
  </w:style>
  <w:style w:type="character" w:customStyle="1" w:styleId="140">
    <w:name w:val="标题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Char"/>
    <w:basedOn w:val="52"/>
    <w:link w:val="36"/>
    <w:qFormat/>
    <w:uiPriority w:val="0"/>
    <w:rPr>
      <w:rFonts w:eastAsia="Yu Mincho"/>
      <w:lang w:val="en-GB" w:eastAsia="en-US"/>
    </w:rPr>
  </w:style>
  <w:style w:type="character" w:customStyle="1" w:styleId="145">
    <w:name w:val="脚注文本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出段落 Ch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Proposal"/>
    <w:basedOn w:val="31"/>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eastAsia="Times New Roman"/>
      <w:b/>
      <w:bCs/>
      <w:lang w:eastAsia="zh-CN"/>
    </w:rPr>
  </w:style>
  <w:style w:type="paragraph" w:customStyle="1" w:styleId="156">
    <w:name w:val="修订2"/>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88B3F-D9D9-4A0E-A61D-D89DC03109ED}">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7</Pages>
  <Words>5962</Words>
  <Characters>33987</Characters>
  <Lines>283</Lines>
  <Paragraphs>79</Paragraphs>
  <TotalTime>35</TotalTime>
  <ScaleCrop>false</ScaleCrop>
  <LinksUpToDate>false</LinksUpToDate>
  <CharactersWithSpaces>39870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2024-10-10T07:30:00Z</dcterms:created>
  <dc:creator>양윤오/책임연구원/미래기술센터 C&amp;M표준(연)5G무선통신표준Task(yoonoh.yang@lge.com)</dc:creator>
  <cp:lastModifiedBy>CMCC-shiyuan-v2</cp:lastModifiedBy>
  <cp:lastPrinted>2019-04-25T01:09:00Z</cp:lastPrinted>
  <dcterms:modified xsi:type="dcterms:W3CDTF">2025-02-20T10:13:35Z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2052-12.8.2.18205</vt:lpwstr>
  </property>
  <property fmtid="{D5CDD505-2E9C-101B-9397-08002B2CF9AE}" pid="17" name="ICV">
    <vt:lpwstr>022FF1828BE24EE698CEDFAE258889F4</vt:lpwstr>
  </property>
  <property fmtid="{D5CDD505-2E9C-101B-9397-08002B2CF9AE}" pid="18" name="GrammarlyDocumentId">
    <vt:lpwstr>b8c289530a967d0ab14d7b1c998a73c36b73bbdae3c26afdcd3959be207e48f5</vt:lpwstr>
  </property>
</Properties>
</file>